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B5" w:rsidRPr="00F207C2" w:rsidRDefault="00C508B5" w:rsidP="004A065D">
      <w:pPr>
        <w:spacing w:after="0" w:line="240" w:lineRule="auto"/>
        <w:ind w:left="6521" w:right="-284"/>
        <w:rPr>
          <w:rFonts w:ascii="Times New Roman" w:eastAsia="Times New Roman" w:hAnsi="Times New Roman"/>
          <w:lang w:eastAsia="ru-RU"/>
        </w:rPr>
      </w:pPr>
      <w:r w:rsidRPr="00F207C2">
        <w:rPr>
          <w:rFonts w:ascii="Times New Roman" w:eastAsia="Times New Roman" w:hAnsi="Times New Roman"/>
          <w:lang w:eastAsia="ru-RU"/>
        </w:rPr>
        <w:t>УТВЕРЖДАЮ:</w:t>
      </w:r>
    </w:p>
    <w:p w:rsidR="00C508B5" w:rsidRPr="00F207C2" w:rsidRDefault="00C508B5" w:rsidP="004A065D">
      <w:pPr>
        <w:spacing w:after="0" w:line="240" w:lineRule="auto"/>
        <w:ind w:left="6521"/>
        <w:rPr>
          <w:rFonts w:ascii="Times New Roman" w:eastAsia="Times New Roman" w:hAnsi="Times New Roman"/>
          <w:lang w:eastAsia="ru-RU"/>
        </w:rPr>
      </w:pPr>
      <w:r w:rsidRPr="00F207C2">
        <w:rPr>
          <w:rFonts w:ascii="Times New Roman" w:eastAsia="Times New Roman" w:hAnsi="Times New Roman"/>
          <w:lang w:eastAsia="ru-RU"/>
        </w:rPr>
        <w:t>Генеральный директор</w:t>
      </w:r>
    </w:p>
    <w:p w:rsidR="00C508B5" w:rsidRPr="00F207C2" w:rsidRDefault="00C508B5" w:rsidP="004A065D">
      <w:pPr>
        <w:spacing w:after="0" w:line="240" w:lineRule="auto"/>
        <w:ind w:left="6521"/>
        <w:rPr>
          <w:rFonts w:ascii="Times New Roman" w:eastAsia="Times New Roman" w:hAnsi="Times New Roman"/>
          <w:lang w:eastAsia="ru-RU"/>
        </w:rPr>
      </w:pPr>
      <w:r w:rsidRPr="00F207C2">
        <w:rPr>
          <w:rFonts w:ascii="Times New Roman" w:eastAsia="Times New Roman" w:hAnsi="Times New Roman"/>
          <w:lang w:eastAsia="ru-RU"/>
        </w:rPr>
        <w:t>АО «Энерготрансснаб»</w:t>
      </w:r>
    </w:p>
    <w:p w:rsidR="00C508B5" w:rsidRPr="00F207C2" w:rsidRDefault="00C508B5" w:rsidP="004A065D">
      <w:pPr>
        <w:spacing w:after="0" w:line="240" w:lineRule="auto"/>
        <w:ind w:left="6521"/>
        <w:rPr>
          <w:rFonts w:ascii="Times New Roman" w:eastAsia="Times New Roman" w:hAnsi="Times New Roman"/>
          <w:lang w:eastAsia="ru-RU"/>
        </w:rPr>
      </w:pPr>
    </w:p>
    <w:p w:rsidR="00C508B5" w:rsidRPr="00F207C2" w:rsidRDefault="00C508B5" w:rsidP="004A065D">
      <w:pPr>
        <w:spacing w:after="0" w:line="240" w:lineRule="auto"/>
        <w:ind w:left="6521"/>
        <w:rPr>
          <w:rFonts w:ascii="Times New Roman" w:eastAsia="Times New Roman" w:hAnsi="Times New Roman"/>
          <w:lang w:eastAsia="ru-RU"/>
        </w:rPr>
      </w:pPr>
      <w:r w:rsidRPr="00F207C2">
        <w:rPr>
          <w:rFonts w:ascii="Times New Roman" w:eastAsia="Times New Roman" w:hAnsi="Times New Roman"/>
          <w:lang w:eastAsia="ru-RU"/>
        </w:rPr>
        <w:t>_____________________ И.В. Акимов</w:t>
      </w:r>
    </w:p>
    <w:p w:rsidR="00C508B5" w:rsidRPr="00F207C2" w:rsidRDefault="00D30E9D" w:rsidP="004A065D">
      <w:pPr>
        <w:spacing w:after="0" w:line="240" w:lineRule="auto"/>
        <w:ind w:left="652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«____» ______________ 2022</w:t>
      </w:r>
      <w:r w:rsidR="00C508B5" w:rsidRPr="00F207C2">
        <w:rPr>
          <w:rFonts w:ascii="Times New Roman" w:eastAsia="Times New Roman" w:hAnsi="Times New Roman"/>
          <w:lang w:eastAsia="ru-RU"/>
        </w:rPr>
        <w:t xml:space="preserve"> г.</w:t>
      </w:r>
    </w:p>
    <w:p w:rsidR="004A065D" w:rsidRDefault="004A065D" w:rsidP="00C508B5">
      <w:pPr>
        <w:tabs>
          <w:tab w:val="center" w:pos="4677"/>
          <w:tab w:val="right" w:pos="9355"/>
        </w:tabs>
        <w:jc w:val="center"/>
        <w:rPr>
          <w:rFonts w:ascii="Times New Roman" w:eastAsia="Calibri" w:hAnsi="Times New Roman"/>
        </w:rPr>
      </w:pPr>
    </w:p>
    <w:p w:rsidR="00C508B5" w:rsidRPr="00F207C2" w:rsidRDefault="004A065D" w:rsidP="004A065D">
      <w:pPr>
        <w:tabs>
          <w:tab w:val="center" w:pos="4677"/>
          <w:tab w:val="right" w:pos="9355"/>
        </w:tabs>
        <w:jc w:val="right"/>
        <w:rPr>
          <w:rFonts w:ascii="Times New Roman" w:eastAsia="Calibri" w:hAnsi="Times New Roman"/>
        </w:rPr>
      </w:pPr>
      <w:r w:rsidRPr="004A065D">
        <w:rPr>
          <w:rFonts w:ascii="Times New Roman" w:eastAsia="Calibri" w:hAnsi="Times New Roman"/>
        </w:rPr>
        <w:t>Приложени</w:t>
      </w:r>
      <w:r>
        <w:rPr>
          <w:rFonts w:ascii="Times New Roman" w:eastAsia="Calibri" w:hAnsi="Times New Roman"/>
        </w:rPr>
        <w:t>е</w:t>
      </w:r>
      <w:r w:rsidRPr="004A065D">
        <w:rPr>
          <w:rFonts w:ascii="Times New Roman" w:eastAsia="Calibri" w:hAnsi="Times New Roman"/>
        </w:rPr>
        <w:t xml:space="preserve"> №</w:t>
      </w:r>
      <w:r>
        <w:rPr>
          <w:rFonts w:ascii="Times New Roman" w:eastAsia="Calibri" w:hAnsi="Times New Roman"/>
        </w:rPr>
        <w:t xml:space="preserve"> </w:t>
      </w:r>
      <w:r w:rsidRPr="004A065D">
        <w:rPr>
          <w:rFonts w:ascii="Times New Roman" w:eastAsia="Calibri" w:hAnsi="Times New Roman"/>
        </w:rPr>
        <w:t xml:space="preserve">1 к </w:t>
      </w:r>
      <w:r>
        <w:rPr>
          <w:rFonts w:ascii="Times New Roman" w:eastAsia="Calibri" w:hAnsi="Times New Roman"/>
        </w:rPr>
        <w:t>Докумен</w:t>
      </w:r>
      <w:r w:rsidRPr="004A065D">
        <w:rPr>
          <w:rFonts w:ascii="Times New Roman" w:eastAsia="Calibri" w:hAnsi="Times New Roman"/>
        </w:rPr>
        <w:t>тации о закупке</w:t>
      </w:r>
    </w:p>
    <w:p w:rsidR="00C508B5" w:rsidRPr="00F207C2" w:rsidRDefault="00C508B5" w:rsidP="00C508B5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18"/>
          <w:szCs w:val="18"/>
          <w:lang w:eastAsia="ru-RU"/>
        </w:rPr>
      </w:pPr>
    </w:p>
    <w:tbl>
      <w:tblPr>
        <w:tblStyle w:val="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C508B5" w:rsidRPr="00F207C2" w:rsidTr="00D30E9D">
        <w:tc>
          <w:tcPr>
            <w:tcW w:w="10456" w:type="dxa"/>
          </w:tcPr>
          <w:p w:rsidR="00C508B5" w:rsidRPr="00F207C2" w:rsidRDefault="00507F1C" w:rsidP="000B415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ТЕХНИЧЕСКИЕ ТРЕБОВАНИЯ</w:t>
            </w:r>
          </w:p>
          <w:p w:rsidR="00507F1C" w:rsidRDefault="00507F1C" w:rsidP="00507F1C">
            <w:pPr>
              <w:suppressAutoHyphens/>
              <w:spacing w:after="0"/>
              <w:ind w:firstLine="567"/>
              <w:jc w:val="center"/>
              <w:rPr>
                <w:rFonts w:ascii="Times New Roman" w:eastAsia="MS Mincho" w:hAnsi="Times New Roman"/>
                <w:b/>
                <w:szCs w:val="24"/>
              </w:rPr>
            </w:pPr>
            <w:r>
              <w:rPr>
                <w:rFonts w:ascii="Times New Roman" w:eastAsia="MS Mincho" w:hAnsi="Times New Roman"/>
                <w:b/>
                <w:szCs w:val="24"/>
              </w:rPr>
              <w:t>Путем проведения запроса предложений в электронной форме</w:t>
            </w:r>
          </w:p>
          <w:p w:rsidR="00C508B5" w:rsidRDefault="00C508B5" w:rsidP="00507F1C">
            <w:pPr>
              <w:suppressAutoHyphens/>
              <w:spacing w:after="0"/>
              <w:ind w:firstLine="567"/>
              <w:jc w:val="center"/>
              <w:rPr>
                <w:rFonts w:ascii="Times New Roman" w:eastAsia="MS Mincho" w:hAnsi="Times New Roman"/>
                <w:b/>
                <w:szCs w:val="24"/>
              </w:rPr>
            </w:pPr>
            <w:r w:rsidRPr="00F207C2">
              <w:rPr>
                <w:rFonts w:ascii="Times New Roman" w:eastAsia="MS Mincho" w:hAnsi="Times New Roman"/>
                <w:b/>
                <w:szCs w:val="24"/>
              </w:rPr>
              <w:t xml:space="preserve">на поставку </w:t>
            </w:r>
            <w:r w:rsidR="00970BCF">
              <w:rPr>
                <w:rFonts w:ascii="Times New Roman" w:eastAsia="MS Mincho" w:hAnsi="Times New Roman"/>
                <w:b/>
                <w:szCs w:val="24"/>
              </w:rPr>
              <w:t>автоподъемного оборудования</w:t>
            </w:r>
            <w:r w:rsidRPr="00F207C2">
              <w:rPr>
                <w:rFonts w:ascii="Times New Roman" w:eastAsia="MS Mincho" w:hAnsi="Times New Roman"/>
                <w:b/>
                <w:szCs w:val="24"/>
              </w:rPr>
              <w:t xml:space="preserve"> для нужд АО «Энерготрансснаб»</w:t>
            </w:r>
          </w:p>
          <w:p w:rsidR="00507F1C" w:rsidRPr="00F207C2" w:rsidRDefault="00507F1C" w:rsidP="00507F1C">
            <w:pPr>
              <w:suppressAutoHyphens/>
              <w:spacing w:after="0"/>
              <w:ind w:firstLine="567"/>
              <w:jc w:val="center"/>
              <w:rPr>
                <w:rFonts w:ascii="Times New Roman" w:eastAsia="MS Mincho" w:hAnsi="Times New Roman"/>
                <w:b/>
                <w:szCs w:val="24"/>
              </w:rPr>
            </w:pPr>
            <w:r>
              <w:rPr>
                <w:rFonts w:ascii="Times New Roman" w:eastAsia="MS Mincho" w:hAnsi="Times New Roman"/>
                <w:b/>
                <w:szCs w:val="24"/>
              </w:rPr>
              <w:t>по Лоту № 0002-РЕМ ПРОД-2022-ЭТС</w:t>
            </w:r>
          </w:p>
          <w:p w:rsidR="00C508B5" w:rsidRPr="00F207C2" w:rsidRDefault="00C508B5" w:rsidP="000B415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08B5" w:rsidRPr="00F207C2" w:rsidRDefault="00C508B5" w:rsidP="000B41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207C2">
              <w:rPr>
                <w:rFonts w:ascii="Times New Roman" w:hAnsi="Times New Roman"/>
                <w:b/>
                <w:szCs w:val="24"/>
              </w:rPr>
              <w:t xml:space="preserve">1. </w:t>
            </w:r>
            <w:r w:rsidRPr="00B04CEE">
              <w:rPr>
                <w:rFonts w:ascii="Times New Roman" w:hAnsi="Times New Roman"/>
                <w:b/>
                <w:szCs w:val="24"/>
              </w:rPr>
              <w:t>Наименование, назначение объекта закупки и цели его использования:</w:t>
            </w:r>
            <w:r w:rsidRPr="00F207C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207C2">
              <w:rPr>
                <w:rFonts w:ascii="Times New Roman" w:hAnsi="Times New Roman"/>
                <w:szCs w:val="24"/>
              </w:rPr>
              <w:t>пос</w:t>
            </w:r>
            <w:bookmarkStart w:id="0" w:name="_GoBack"/>
            <w:bookmarkEnd w:id="0"/>
            <w:r w:rsidRPr="00F207C2">
              <w:rPr>
                <w:rFonts w:ascii="Times New Roman" w:hAnsi="Times New Roman"/>
                <w:szCs w:val="24"/>
              </w:rPr>
              <w:t xml:space="preserve">тавка </w:t>
            </w:r>
            <w:r w:rsidR="00970BCF">
              <w:rPr>
                <w:rFonts w:ascii="Times New Roman" w:hAnsi="Times New Roman"/>
                <w:szCs w:val="24"/>
              </w:rPr>
              <w:t>автоподъемного оборудования</w:t>
            </w:r>
            <w:r w:rsidR="00E73817">
              <w:rPr>
                <w:rFonts w:ascii="Times New Roman" w:hAnsi="Times New Roman"/>
                <w:szCs w:val="24"/>
              </w:rPr>
              <w:t xml:space="preserve"> </w:t>
            </w:r>
            <w:r w:rsidR="00507F1C">
              <w:rPr>
                <w:rFonts w:ascii="Times New Roman" w:hAnsi="Times New Roman"/>
                <w:szCs w:val="24"/>
              </w:rPr>
              <w:t>для нужд АО «Энерготрансснаб» с целью проведения определенного типа работ на автотранспортных средствах.</w:t>
            </w:r>
          </w:p>
          <w:p w:rsidR="00C508B5" w:rsidRPr="00F207C2" w:rsidRDefault="00C508B5" w:rsidP="000B4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F207C2">
              <w:rPr>
                <w:rFonts w:ascii="Times New Roman" w:hAnsi="Times New Roman"/>
                <w:b/>
                <w:szCs w:val="24"/>
              </w:rPr>
              <w:t>1.1. Код по общероссийскому классификатору продукции по видам экономической деятельности (ОКПД2) ("ОК 034-2014 (КПЕС 2008). Общероссийский классификатор продукции по видам экономической деятельности"):</w:t>
            </w:r>
            <w:r w:rsidR="00D30E9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507F1C">
              <w:rPr>
                <w:rFonts w:ascii="Times New Roman" w:hAnsi="Times New Roman"/>
                <w:szCs w:val="24"/>
              </w:rPr>
              <w:t>46.6.</w:t>
            </w:r>
          </w:p>
          <w:p w:rsidR="00C508B5" w:rsidRPr="00F207C2" w:rsidRDefault="00C508B5" w:rsidP="000B41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207C2">
              <w:rPr>
                <w:rFonts w:ascii="Times New Roman" w:hAnsi="Times New Roman"/>
                <w:b/>
                <w:szCs w:val="24"/>
              </w:rPr>
              <w:t>1.2. Описание объекта закупки: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3400"/>
              <w:gridCol w:w="992"/>
              <w:gridCol w:w="1133"/>
              <w:gridCol w:w="3259"/>
            </w:tblGrid>
            <w:tr w:rsidR="00D30E9D" w:rsidRPr="00F207C2" w:rsidTr="003E0FE0">
              <w:trPr>
                <w:cantSplit/>
                <w:trHeight w:val="40"/>
              </w:trPr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08B5" w:rsidRPr="00F207C2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b/>
                      <w:szCs w:val="24"/>
                      <w:lang w:eastAsia="ru-RU"/>
                    </w:rPr>
                  </w:pPr>
                  <w:r w:rsidRPr="00F207C2">
                    <w:rPr>
                      <w:rFonts w:ascii="Times New Roman" w:eastAsia="Calibri" w:hAnsi="Times New Roman"/>
                      <w:b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08B5" w:rsidRPr="00F207C2" w:rsidRDefault="00C508B5" w:rsidP="00C4185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/>
                      <w:szCs w:val="24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08B5" w:rsidRPr="00F207C2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ind w:firstLine="48"/>
                    <w:jc w:val="center"/>
                    <w:rPr>
                      <w:rFonts w:ascii="Times New Roman" w:eastAsia="Calibri" w:hAnsi="Times New Roman"/>
                      <w:b/>
                      <w:szCs w:val="24"/>
                      <w:lang w:eastAsia="ru-RU"/>
                    </w:rPr>
                  </w:pPr>
                  <w:r w:rsidRPr="00F207C2">
                    <w:rPr>
                      <w:rFonts w:ascii="Times New Roman" w:eastAsia="Calibri" w:hAnsi="Times New Roman"/>
                      <w:b/>
                      <w:szCs w:val="24"/>
                      <w:lang w:eastAsia="ru-RU"/>
                    </w:rPr>
                    <w:t>Ед. изм.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08B5" w:rsidRPr="00F207C2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ind w:hanging="93"/>
                    <w:jc w:val="center"/>
                    <w:rPr>
                      <w:rFonts w:ascii="Times New Roman" w:eastAsia="Calibri" w:hAnsi="Times New Roman"/>
                      <w:b/>
                      <w:szCs w:val="24"/>
                      <w:lang w:eastAsia="ru-RU"/>
                    </w:rPr>
                  </w:pPr>
                  <w:r w:rsidRPr="00F207C2">
                    <w:rPr>
                      <w:rFonts w:ascii="Times New Roman" w:eastAsia="Calibri" w:hAnsi="Times New Roman"/>
                      <w:b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1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08B5" w:rsidRPr="00F207C2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ind w:firstLine="47"/>
                    <w:jc w:val="center"/>
                    <w:rPr>
                      <w:rFonts w:ascii="Times New Roman" w:eastAsia="Calibri" w:hAnsi="Times New Roman"/>
                      <w:b/>
                      <w:szCs w:val="24"/>
                      <w:lang w:eastAsia="ru-RU"/>
                    </w:rPr>
                  </w:pPr>
                  <w:r w:rsidRPr="00F207C2">
                    <w:rPr>
                      <w:rFonts w:ascii="Times New Roman" w:eastAsia="Calibri" w:hAnsi="Times New Roman"/>
                      <w:b/>
                      <w:szCs w:val="24"/>
                      <w:lang w:eastAsia="ru-RU"/>
                    </w:rPr>
                    <w:t>Технические характеристики и параметры эквивалентности</w:t>
                  </w:r>
                </w:p>
              </w:tc>
            </w:tr>
            <w:tr w:rsidR="00D30E9D" w:rsidRPr="00F207C2" w:rsidTr="003E0FE0">
              <w:trPr>
                <w:cantSplit/>
                <w:trHeight w:val="40"/>
              </w:trPr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08B5" w:rsidRPr="00F207C2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ru-RU"/>
                    </w:rPr>
                  </w:pPr>
                  <w:r w:rsidRPr="00F207C2">
                    <w:rPr>
                      <w:rFonts w:ascii="Times New Roman" w:eastAsia="Calibri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08B5" w:rsidRPr="00F207C2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ru-RU"/>
                    </w:rPr>
                  </w:pPr>
                  <w:r w:rsidRPr="00F207C2">
                    <w:rPr>
                      <w:rFonts w:ascii="Times New Roman" w:eastAsia="Calibri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08B5" w:rsidRPr="00F207C2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ru-RU"/>
                    </w:rPr>
                  </w:pPr>
                  <w:r w:rsidRPr="00F207C2">
                    <w:rPr>
                      <w:rFonts w:ascii="Times New Roman" w:eastAsia="Calibri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08B5" w:rsidRPr="00F207C2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ru-RU"/>
                    </w:rPr>
                  </w:pPr>
                  <w:r w:rsidRPr="00F207C2">
                    <w:rPr>
                      <w:rFonts w:ascii="Times New Roman" w:eastAsia="Calibri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08B5" w:rsidRPr="00F207C2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ind w:firstLine="47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eastAsia="ru-RU"/>
                    </w:rPr>
                  </w:pPr>
                  <w:r w:rsidRPr="00F207C2">
                    <w:rPr>
                      <w:rFonts w:ascii="Times New Roman" w:eastAsia="Calibri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3E0FE0" w:rsidRPr="00F207C2" w:rsidTr="003E0FE0">
              <w:trPr>
                <w:cantSplit/>
                <w:trHeight w:val="40"/>
              </w:trPr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FE0" w:rsidRPr="00F207C2" w:rsidRDefault="003E0FE0" w:rsidP="003E7D15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FE0" w:rsidRPr="00DC5989" w:rsidRDefault="00DA3F6C" w:rsidP="00FC780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szCs w:val="24"/>
                      <w:lang w:eastAsia="ru-RU"/>
                    </w:rPr>
                  </w:pPr>
                  <w:r w:rsidRPr="007A2436">
                    <w:rPr>
                      <w:rFonts w:ascii="Times New Roman" w:eastAsia="Calibri" w:hAnsi="Times New Roman"/>
                      <w:szCs w:val="24"/>
                      <w:highlight w:val="yellow"/>
                      <w:lang w:eastAsia="ru-RU"/>
                    </w:rPr>
                    <w:t>Подъёмник 4</w:t>
                  </w:r>
                  <w:r w:rsidR="003E0FE0" w:rsidRPr="007A2436">
                    <w:rPr>
                      <w:rFonts w:ascii="Times New Roman" w:eastAsia="Calibri" w:hAnsi="Times New Roman"/>
                      <w:szCs w:val="24"/>
                      <w:highlight w:val="yellow"/>
                      <w:lang w:eastAsia="ru-RU"/>
                    </w:rPr>
                    <w:t>х стоечный</w:t>
                  </w:r>
                  <w:r w:rsidR="003E0FE0"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FE0" w:rsidRPr="00C4185C" w:rsidRDefault="003E0FE0" w:rsidP="003E7D1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FE0" w:rsidRPr="00F207C2" w:rsidRDefault="003E0FE0" w:rsidP="003E7D1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FE0" w:rsidRDefault="003E0FE0" w:rsidP="003E7D1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szCs w:val="24"/>
                      <w:lang w:eastAsia="ru-RU"/>
                    </w:rPr>
                  </w:pPr>
                  <w:r w:rsidRPr="003E0FE0"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>Электропитание</w:t>
                  </w:r>
                  <w:r w:rsidRPr="003E0FE0"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ab/>
                    <w:t>380 В, 50/60 Гц</w:t>
                  </w:r>
                </w:p>
                <w:p w:rsidR="003E0FE0" w:rsidRPr="003E0FE0" w:rsidRDefault="003E0FE0" w:rsidP="003E7D1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>Объем бака гидронасоса</w:t>
                  </w:r>
                  <w:r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ab/>
                    <w:t>не менее 9</w:t>
                  </w:r>
                  <w:r w:rsidRPr="003E0FE0"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 xml:space="preserve"> л.</w:t>
                  </w:r>
                </w:p>
                <w:p w:rsidR="003E0FE0" w:rsidRPr="003E0FE0" w:rsidRDefault="003E0FE0" w:rsidP="003E7D1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>Грузоподъемность</w:t>
                  </w:r>
                  <w:r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ab/>
                    <w:t>не менее 45</w:t>
                  </w:r>
                  <w:r w:rsidRPr="003E0FE0"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>00 кг</w:t>
                  </w:r>
                </w:p>
                <w:p w:rsidR="003E0FE0" w:rsidRPr="003E0FE0" w:rsidRDefault="003E0FE0" w:rsidP="003E7D1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szCs w:val="24"/>
                      <w:lang w:eastAsia="ru-RU"/>
                    </w:rPr>
                  </w:pPr>
                  <w:r w:rsidRPr="003E0FE0"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>Расстояние между колонн</w:t>
                  </w:r>
                  <w:r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 xml:space="preserve"> не менее</w:t>
                  </w:r>
                  <w:r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ab/>
                    <w:t>28</w:t>
                  </w:r>
                  <w:r w:rsidRPr="003E0FE0"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>00 мм</w:t>
                  </w:r>
                </w:p>
                <w:p w:rsidR="003E0FE0" w:rsidRDefault="003E7D15" w:rsidP="003E7D1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 xml:space="preserve">Расстояние между трапами     </w:t>
                  </w:r>
                  <w:r w:rsidR="003E0FE0" w:rsidRPr="003E0FE0"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>800-1025 мм</w:t>
                  </w:r>
                </w:p>
                <w:p w:rsidR="003E0FE0" w:rsidRDefault="003E0FE0" w:rsidP="003E7D1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szCs w:val="24"/>
                      <w:lang w:eastAsia="ru-RU"/>
                    </w:rPr>
                  </w:pPr>
                  <w:r w:rsidRPr="003E0FE0"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>Длина трапов</w:t>
                  </w:r>
                  <w:r w:rsidRPr="003E0FE0"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>не менее 5000</w:t>
                  </w:r>
                  <w:r w:rsidRPr="003E0FE0"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 xml:space="preserve"> мм</w:t>
                  </w:r>
                </w:p>
              </w:tc>
            </w:tr>
            <w:tr w:rsidR="003E0FE0" w:rsidRPr="00F207C2" w:rsidTr="003E0FE0">
              <w:trPr>
                <w:cantSplit/>
                <w:trHeight w:val="40"/>
              </w:trPr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FE0" w:rsidRDefault="003E0FE0" w:rsidP="003E7D15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FE0" w:rsidRPr="004E5599" w:rsidRDefault="00DA3F6C" w:rsidP="00FC780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szCs w:val="24"/>
                      <w:lang w:eastAsia="ru-RU"/>
                    </w:rPr>
                  </w:pPr>
                  <w:r w:rsidRPr="007A2436">
                    <w:rPr>
                      <w:rFonts w:ascii="Times New Roman" w:eastAsia="Calibri" w:hAnsi="Times New Roman"/>
                      <w:szCs w:val="24"/>
                      <w:highlight w:val="yellow"/>
                      <w:lang w:eastAsia="ru-RU"/>
                    </w:rPr>
                    <w:t>Подъёмник 2</w:t>
                  </w:r>
                  <w:r w:rsidR="003E0FE0" w:rsidRPr="007A2436">
                    <w:rPr>
                      <w:rFonts w:ascii="Times New Roman" w:eastAsia="Calibri" w:hAnsi="Times New Roman"/>
                      <w:szCs w:val="24"/>
                      <w:highlight w:val="yellow"/>
                      <w:lang w:eastAsia="ru-RU"/>
                    </w:rPr>
                    <w:t>х стоечный</w:t>
                  </w:r>
                  <w:r w:rsidR="003E0FE0"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FE0" w:rsidRDefault="003E0FE0" w:rsidP="003E7D1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FE0" w:rsidRDefault="003E0FE0" w:rsidP="003E7D1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FE0" w:rsidRDefault="003E0FE0" w:rsidP="003E7D1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szCs w:val="24"/>
                      <w:lang w:eastAsia="ru-RU"/>
                    </w:rPr>
                  </w:pPr>
                  <w:r w:rsidRPr="003E0FE0"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>Электропитание</w:t>
                  </w:r>
                  <w:r w:rsidRPr="003E0FE0"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ab/>
                    <w:t>380В 3-х фазное 50/60 Гц</w:t>
                  </w:r>
                </w:p>
                <w:p w:rsidR="003E0FE0" w:rsidRPr="003E0FE0" w:rsidRDefault="003E0FE0" w:rsidP="003E7D1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>Грузоподъемность</w:t>
                  </w:r>
                  <w:r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ab/>
                    <w:t xml:space="preserve">не менее </w:t>
                  </w:r>
                  <w:r w:rsidR="003E7D15"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>3500</w:t>
                  </w:r>
                  <w:r w:rsidR="003E7D15" w:rsidRPr="003E7D15"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 xml:space="preserve"> кг</w:t>
                  </w:r>
                </w:p>
                <w:p w:rsidR="003E7D15" w:rsidRDefault="003E0FE0" w:rsidP="003E7D1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szCs w:val="24"/>
                      <w:lang w:eastAsia="ru-RU"/>
                    </w:rPr>
                  </w:pPr>
                  <w:r w:rsidRPr="003E0FE0"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>Расстояние между колонн</w:t>
                  </w:r>
                  <w:r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 xml:space="preserve"> не менее</w:t>
                  </w:r>
                  <w:r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ab/>
                    <w:t>2800</w:t>
                  </w:r>
                  <w:r w:rsidRPr="003E0FE0"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 xml:space="preserve"> мм</w:t>
                  </w:r>
                </w:p>
                <w:p w:rsidR="003E7D15" w:rsidRPr="003E7D15" w:rsidRDefault="003E7D15" w:rsidP="003E7D1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szCs w:val="24"/>
                      <w:lang w:eastAsia="ru-RU"/>
                    </w:rPr>
                  </w:pPr>
                  <w:r w:rsidRPr="003E7D15"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>Общая ширина</w:t>
                  </w:r>
                  <w:r w:rsidRPr="003E7D15"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>не менее 3400</w:t>
                  </w:r>
                  <w:r w:rsidRPr="003E7D15"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 xml:space="preserve"> мм</w:t>
                  </w:r>
                </w:p>
                <w:p w:rsidR="003E0FE0" w:rsidRDefault="003E7D15" w:rsidP="003E7D1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/>
                      <w:szCs w:val="24"/>
                      <w:lang w:eastAsia="ru-RU"/>
                    </w:rPr>
                  </w:pPr>
                  <w:r w:rsidRPr="003E7D15"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>Ширина проезда</w:t>
                  </w:r>
                  <w:r w:rsidRPr="003E7D15"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>не менее 2500</w:t>
                  </w:r>
                  <w:r w:rsidRPr="003E7D15">
                    <w:rPr>
                      <w:rFonts w:ascii="Times New Roman" w:eastAsia="Calibri" w:hAnsi="Times New Roman"/>
                      <w:szCs w:val="24"/>
                      <w:lang w:eastAsia="ru-RU"/>
                    </w:rPr>
                    <w:t xml:space="preserve"> мм</w:t>
                  </w:r>
                </w:p>
              </w:tc>
            </w:tr>
          </w:tbl>
          <w:p w:rsidR="003E7D15" w:rsidRDefault="003E7D15" w:rsidP="00D129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C508B5" w:rsidRPr="00F207C2" w:rsidRDefault="00C508B5" w:rsidP="00D129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 w:rsidRPr="00F207C2">
              <w:rPr>
                <w:rFonts w:ascii="Times New Roman" w:hAnsi="Times New Roman"/>
                <w:b/>
                <w:szCs w:val="24"/>
              </w:rPr>
              <w:t>1.3. Гарантии качества товара</w:t>
            </w:r>
            <w:r w:rsidR="00536416">
              <w:rPr>
                <w:rFonts w:ascii="Times New Roman" w:hAnsi="Times New Roman"/>
                <w:b/>
                <w:szCs w:val="24"/>
              </w:rPr>
              <w:t>:</w:t>
            </w:r>
          </w:p>
          <w:p w:rsidR="00C508B5" w:rsidRPr="00F207C2" w:rsidRDefault="00C508B5" w:rsidP="00D129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F207C2">
              <w:rPr>
                <w:rFonts w:ascii="Times New Roman" w:hAnsi="Times New Roman"/>
                <w:szCs w:val="24"/>
              </w:rPr>
              <w:t>1) Срок предоставления гарантии качества товара:</w:t>
            </w:r>
            <w:r w:rsidR="00B21BE6">
              <w:rPr>
                <w:rFonts w:ascii="Times New Roman" w:hAnsi="Times New Roman"/>
                <w:szCs w:val="24"/>
              </w:rPr>
              <w:t xml:space="preserve"> </w:t>
            </w:r>
            <w:r w:rsidR="00B21BE6" w:rsidRPr="00B21BE6">
              <w:rPr>
                <w:rFonts w:ascii="Times New Roman" w:hAnsi="Times New Roman"/>
                <w:szCs w:val="24"/>
              </w:rPr>
              <w:t>Гарантийный срок на товар составляет 12 (двенадцать) месяцев.</w:t>
            </w:r>
            <w:r w:rsidR="00B21BE6">
              <w:rPr>
                <w:rFonts w:ascii="Times New Roman" w:hAnsi="Times New Roman"/>
                <w:szCs w:val="24"/>
              </w:rPr>
              <w:t xml:space="preserve"> </w:t>
            </w:r>
            <w:r w:rsidR="00B21BE6" w:rsidRPr="00B21BE6">
              <w:rPr>
                <w:rFonts w:ascii="Times New Roman" w:hAnsi="Times New Roman"/>
                <w:szCs w:val="24"/>
              </w:rPr>
              <w:t>Гарантийный срок начинает</w:t>
            </w:r>
            <w:r w:rsidR="009A7764">
              <w:rPr>
                <w:rFonts w:ascii="Times New Roman" w:hAnsi="Times New Roman"/>
                <w:szCs w:val="24"/>
              </w:rPr>
              <w:t>ся</w:t>
            </w:r>
            <w:r w:rsidR="00B21BE6" w:rsidRPr="00B21BE6">
              <w:rPr>
                <w:rFonts w:ascii="Times New Roman" w:hAnsi="Times New Roman"/>
                <w:szCs w:val="24"/>
              </w:rPr>
              <w:t xml:space="preserve"> с момента подписания Заказчиком (Получателем) документа о приемке Товара.</w:t>
            </w:r>
          </w:p>
          <w:p w:rsidR="00C508B5" w:rsidRPr="00233A43" w:rsidRDefault="00C508B5" w:rsidP="00D129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F207C2">
              <w:rPr>
                <w:rFonts w:ascii="Times New Roman" w:hAnsi="Times New Roman"/>
                <w:szCs w:val="24"/>
              </w:rPr>
              <w:t>2) Объем предоставления гарантий качества товара</w:t>
            </w:r>
            <w:r w:rsidR="00233A43">
              <w:rPr>
                <w:rFonts w:ascii="Times New Roman" w:hAnsi="Times New Roman"/>
                <w:szCs w:val="24"/>
              </w:rPr>
              <w:t>:</w:t>
            </w:r>
            <w:r w:rsidR="00233A43" w:rsidRPr="00233A43">
              <w:rPr>
                <w:rFonts w:ascii="Times New Roman" w:hAnsi="Times New Roman"/>
                <w:szCs w:val="24"/>
              </w:rPr>
              <w:t xml:space="preserve"> </w:t>
            </w:r>
            <w:r w:rsidR="00B21BE6" w:rsidRPr="00B21BE6">
              <w:rPr>
                <w:rFonts w:ascii="Times New Roman" w:hAnsi="Times New Roman"/>
                <w:szCs w:val="24"/>
              </w:rPr>
              <w:t>Гарантийный срок, установленный Договором, продлевается на период, когда Заказчик не мог пользоваться товаром из-за обнаруженных в нем недостатков, при условии, что Поставщик был извещен Заказчиком об обнаружении недостатков в письменной форме в срок, предусмотренный настоящим Договором</w:t>
            </w:r>
            <w:r w:rsidR="00B21BE6">
              <w:rPr>
                <w:rFonts w:ascii="Times New Roman" w:hAnsi="Times New Roman"/>
                <w:szCs w:val="24"/>
              </w:rPr>
              <w:t>.</w:t>
            </w:r>
          </w:p>
          <w:p w:rsidR="00C508B5" w:rsidRPr="00F207C2" w:rsidRDefault="00C508B5" w:rsidP="00470E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F207C2">
              <w:rPr>
                <w:rFonts w:ascii="Times New Roman" w:hAnsi="Times New Roman"/>
                <w:b/>
                <w:szCs w:val="24"/>
              </w:rPr>
              <w:lastRenderedPageBreak/>
              <w:t>1.4. Требования к качеству товара:</w:t>
            </w:r>
            <w:r w:rsidR="00233A43">
              <w:t xml:space="preserve"> </w:t>
            </w:r>
            <w:r w:rsidR="00233A43" w:rsidRPr="00233A43">
              <w:rPr>
                <w:rFonts w:ascii="Times New Roman" w:hAnsi="Times New Roman"/>
                <w:szCs w:val="24"/>
              </w:rPr>
              <w:t>Товар должен обеспечивать предусмотренную производителем функциональность. Товар должен быть пригоден для целей, указанных в Договоре (в случае наличия такого указания), а также для целей, для которых товары такого рода обычно используются</w:t>
            </w:r>
            <w:r w:rsidR="00233A43">
              <w:rPr>
                <w:rFonts w:ascii="Times New Roman" w:hAnsi="Times New Roman"/>
                <w:szCs w:val="24"/>
              </w:rPr>
              <w:t>.</w:t>
            </w:r>
          </w:p>
          <w:p w:rsidR="00C508B5" w:rsidRPr="00233A43" w:rsidRDefault="00C508B5" w:rsidP="00470E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F207C2">
              <w:rPr>
                <w:rFonts w:ascii="Times New Roman" w:hAnsi="Times New Roman"/>
                <w:b/>
                <w:szCs w:val="24"/>
              </w:rPr>
              <w:t>1.5. Требования к безопасности товара</w:t>
            </w:r>
            <w:r w:rsidR="00233A43">
              <w:rPr>
                <w:rFonts w:ascii="Times New Roman" w:hAnsi="Times New Roman"/>
                <w:b/>
                <w:szCs w:val="24"/>
              </w:rPr>
              <w:t xml:space="preserve">: </w:t>
            </w:r>
            <w:r w:rsidR="00233A43" w:rsidRPr="00233A43">
              <w:rPr>
                <w:rFonts w:ascii="Times New Roman" w:hAnsi="Times New Roman"/>
                <w:szCs w:val="24"/>
              </w:rPr>
              <w:t>Поставщик гарантирует качество и безопасность поставляемого товара в соответствии с требованиями Договора,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действующими на территории РФ на дату поставки и приемки товара (каждой партии товара), что подтверждается соответствующими документами.</w:t>
            </w:r>
          </w:p>
          <w:p w:rsidR="00D129AE" w:rsidRDefault="00C508B5" w:rsidP="00D129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F207C2">
              <w:rPr>
                <w:rFonts w:ascii="Times New Roman" w:hAnsi="Times New Roman"/>
                <w:b/>
                <w:szCs w:val="24"/>
              </w:rPr>
              <w:t>1.6. Перечень технической документации на поставляемый товар</w:t>
            </w:r>
            <w:r w:rsidR="00D129AE">
              <w:rPr>
                <w:rFonts w:ascii="Times New Roman" w:hAnsi="Times New Roman"/>
                <w:szCs w:val="24"/>
              </w:rPr>
              <w:t>:</w:t>
            </w:r>
          </w:p>
          <w:p w:rsidR="00D129AE" w:rsidRPr="00D129AE" w:rsidRDefault="00D129AE" w:rsidP="00D129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129AE">
              <w:rPr>
                <w:rFonts w:ascii="Times New Roman" w:hAnsi="Times New Roman"/>
                <w:szCs w:val="24"/>
              </w:rPr>
              <w:t>-</w:t>
            </w:r>
            <w:r w:rsidRPr="00D129AE">
              <w:rPr>
                <w:rFonts w:ascii="Times New Roman" w:hAnsi="Times New Roman"/>
                <w:szCs w:val="24"/>
              </w:rPr>
              <w:tab/>
              <w:t>технический паспорт (паспорт производителя) на каждую единицу товара (при наличии у производителя товара),</w:t>
            </w:r>
          </w:p>
          <w:p w:rsidR="00D129AE" w:rsidRPr="00D129AE" w:rsidRDefault="00D129AE" w:rsidP="00D129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129AE">
              <w:rPr>
                <w:rFonts w:ascii="Times New Roman" w:hAnsi="Times New Roman"/>
                <w:szCs w:val="24"/>
              </w:rPr>
              <w:t>-</w:t>
            </w:r>
            <w:r w:rsidRPr="00D129AE">
              <w:rPr>
                <w:rFonts w:ascii="Times New Roman" w:hAnsi="Times New Roman"/>
                <w:szCs w:val="24"/>
              </w:rPr>
              <w:tab/>
              <w:t>сертификат соответствия или декларация о соответствии в соответствии с действующим законодательством Российской Федерации,</w:t>
            </w:r>
          </w:p>
          <w:p w:rsidR="00D129AE" w:rsidRPr="00D129AE" w:rsidRDefault="00D129AE" w:rsidP="00D129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129AE">
              <w:rPr>
                <w:rFonts w:ascii="Times New Roman" w:hAnsi="Times New Roman"/>
                <w:szCs w:val="24"/>
              </w:rPr>
              <w:t>-</w:t>
            </w:r>
            <w:r w:rsidRPr="00D129AE">
              <w:rPr>
                <w:rFonts w:ascii="Times New Roman" w:hAnsi="Times New Roman"/>
                <w:szCs w:val="24"/>
              </w:rPr>
              <w:tab/>
              <w:t>инструкция пользователя на русском языке (при наличии у производителя товара),</w:t>
            </w:r>
          </w:p>
          <w:p w:rsidR="00D129AE" w:rsidRPr="00D129AE" w:rsidRDefault="00D129AE" w:rsidP="00D129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129AE">
              <w:rPr>
                <w:rFonts w:ascii="Times New Roman" w:hAnsi="Times New Roman"/>
                <w:szCs w:val="24"/>
              </w:rPr>
              <w:t>-</w:t>
            </w:r>
            <w:r w:rsidRPr="00D129AE">
              <w:rPr>
                <w:rFonts w:ascii="Times New Roman" w:hAnsi="Times New Roman"/>
                <w:szCs w:val="24"/>
              </w:rPr>
              <w:tab/>
              <w:t xml:space="preserve">товарные накладные (универсальный передаточный документ), </w:t>
            </w:r>
          </w:p>
          <w:p w:rsidR="00D129AE" w:rsidRPr="00D129AE" w:rsidRDefault="00D129AE" w:rsidP="00D129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129AE">
              <w:rPr>
                <w:rFonts w:ascii="Times New Roman" w:hAnsi="Times New Roman"/>
                <w:szCs w:val="24"/>
              </w:rPr>
              <w:t>-</w:t>
            </w:r>
            <w:r w:rsidRPr="00D129AE">
              <w:rPr>
                <w:rFonts w:ascii="Times New Roman" w:hAnsi="Times New Roman"/>
                <w:szCs w:val="24"/>
              </w:rPr>
              <w:tab/>
              <w:t xml:space="preserve">счет, </w:t>
            </w:r>
          </w:p>
          <w:p w:rsidR="00C508B5" w:rsidRPr="00F207C2" w:rsidRDefault="00D129AE" w:rsidP="00D129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129AE">
              <w:rPr>
                <w:rFonts w:ascii="Times New Roman" w:hAnsi="Times New Roman"/>
                <w:szCs w:val="24"/>
              </w:rPr>
              <w:t>-</w:t>
            </w:r>
            <w:r w:rsidRPr="00D129AE">
              <w:rPr>
                <w:rFonts w:ascii="Times New Roman" w:hAnsi="Times New Roman"/>
                <w:szCs w:val="24"/>
              </w:rPr>
              <w:tab/>
              <w:t>счет-фактуру (при наличии)</w:t>
            </w:r>
          </w:p>
          <w:p w:rsidR="00C508B5" w:rsidRPr="00F207C2" w:rsidRDefault="00C508B5" w:rsidP="00536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F207C2">
              <w:rPr>
                <w:rFonts w:ascii="Times New Roman" w:hAnsi="Times New Roman"/>
                <w:b/>
                <w:szCs w:val="24"/>
              </w:rPr>
              <w:t>1.7. Требования к упаковке товара:</w:t>
            </w:r>
            <w:r w:rsidR="00233A43" w:rsidRPr="00233A43">
              <w:rPr>
                <w:rFonts w:ascii="Times New Roman" w:hAnsi="Times New Roman"/>
                <w:szCs w:val="24"/>
              </w:rPr>
              <w:t xml:space="preserve"> Товар поставляется в упаковке, пригодной для данного вида товара, обеспечивающей сохранность товара при транспортировке, погрузочно-разгрузочных работах и хранении. Должны быть соблюдены требования консервации, упаковке и таре для транспортировки товара в районы Крайнего Севера по ГОСТ 15846-2002.</w:t>
            </w:r>
          </w:p>
          <w:p w:rsidR="00C508B5" w:rsidRPr="00F207C2" w:rsidRDefault="00C508B5" w:rsidP="00536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F207C2">
              <w:rPr>
                <w:rFonts w:ascii="Times New Roman" w:hAnsi="Times New Roman"/>
                <w:b/>
                <w:szCs w:val="24"/>
              </w:rPr>
              <w:t>1.8. Требования к маркировке товара:</w:t>
            </w:r>
            <w:r w:rsidR="00D129AE">
              <w:rPr>
                <w:rFonts w:ascii="Times New Roman" w:hAnsi="Times New Roman"/>
                <w:szCs w:val="24"/>
              </w:rPr>
              <w:t xml:space="preserve"> </w:t>
            </w:r>
            <w:r w:rsidR="00D129AE" w:rsidRPr="00D129AE">
              <w:rPr>
                <w:rFonts w:ascii="Times New Roman" w:hAnsi="Times New Roman"/>
                <w:szCs w:val="24"/>
              </w:rPr>
              <w:t>Маркировка упаковки и (или) товара должна содержать: наименование товара, наименование фирмы-изготовителя, юридический адрес изготовителя, а также иную информацию, предусмотренную для маркировки данного в</w:t>
            </w:r>
            <w:r w:rsidR="00D129AE">
              <w:rPr>
                <w:rFonts w:ascii="Times New Roman" w:hAnsi="Times New Roman"/>
                <w:szCs w:val="24"/>
              </w:rPr>
              <w:t>ида товара законодательными и по</w:t>
            </w:r>
            <w:r w:rsidR="00D129AE" w:rsidRPr="00D129AE">
              <w:rPr>
                <w:rFonts w:ascii="Times New Roman" w:hAnsi="Times New Roman"/>
                <w:szCs w:val="24"/>
              </w:rPr>
              <w:t>дзаконными актами, действующими на территории РФ на дату поставки и приемки товара (каждой партии товара).</w:t>
            </w:r>
          </w:p>
          <w:p w:rsidR="00C508B5" w:rsidRPr="00F207C2" w:rsidRDefault="00C508B5" w:rsidP="00536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F207C2">
              <w:rPr>
                <w:rFonts w:ascii="Times New Roman" w:hAnsi="Times New Roman"/>
                <w:b/>
                <w:szCs w:val="24"/>
              </w:rPr>
              <w:t>1.9. Требования к объему, техническим, эксплуатационным и функциональным характеристикам работ:</w:t>
            </w:r>
            <w:r w:rsidR="00D129A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129AE">
              <w:rPr>
                <w:rFonts w:ascii="Times New Roman" w:hAnsi="Times New Roman"/>
                <w:szCs w:val="24"/>
              </w:rPr>
              <w:t>отсутствует.</w:t>
            </w:r>
          </w:p>
          <w:p w:rsidR="00C508B5" w:rsidRPr="00F207C2" w:rsidRDefault="00C508B5" w:rsidP="00536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F207C2">
              <w:rPr>
                <w:rFonts w:ascii="Times New Roman" w:hAnsi="Times New Roman"/>
                <w:b/>
                <w:szCs w:val="24"/>
              </w:rPr>
              <w:t>1.10. Дополнительная информация</w:t>
            </w:r>
            <w:r w:rsidRPr="00F207C2">
              <w:rPr>
                <w:rFonts w:ascii="Times New Roman" w:hAnsi="Times New Roman"/>
                <w:szCs w:val="24"/>
              </w:rPr>
              <w:t>:</w:t>
            </w:r>
            <w:r w:rsidR="00D129AE">
              <w:rPr>
                <w:rFonts w:ascii="Times New Roman" w:hAnsi="Times New Roman"/>
                <w:szCs w:val="24"/>
              </w:rPr>
              <w:t xml:space="preserve"> отсутствует</w:t>
            </w:r>
          </w:p>
          <w:p w:rsidR="00C508B5" w:rsidRDefault="00C508B5" w:rsidP="00536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F207C2">
              <w:rPr>
                <w:rFonts w:ascii="Times New Roman" w:hAnsi="Times New Roman"/>
                <w:b/>
                <w:szCs w:val="24"/>
              </w:rPr>
              <w:t>1.11. Порядок приемки товара</w:t>
            </w:r>
            <w:r w:rsidRPr="00F207C2">
              <w:rPr>
                <w:rFonts w:ascii="Times New Roman" w:hAnsi="Times New Roman"/>
                <w:szCs w:val="24"/>
              </w:rPr>
              <w:t xml:space="preserve">: </w:t>
            </w:r>
            <w:r w:rsidR="00D129AE" w:rsidRPr="00D129AE">
              <w:rPr>
                <w:rFonts w:ascii="Times New Roman" w:hAnsi="Times New Roman"/>
                <w:szCs w:val="24"/>
              </w:rPr>
              <w:t>Поставка товара с комплектом оригиналов докумен</w:t>
            </w:r>
            <w:r w:rsidR="00D129AE">
              <w:rPr>
                <w:rFonts w:ascii="Times New Roman" w:hAnsi="Times New Roman"/>
                <w:szCs w:val="24"/>
              </w:rPr>
              <w:t>тов</w:t>
            </w:r>
            <w:r w:rsidR="00D129AE" w:rsidRPr="00D129AE">
              <w:rPr>
                <w:rFonts w:ascii="Times New Roman" w:hAnsi="Times New Roman"/>
                <w:szCs w:val="24"/>
              </w:rPr>
              <w:t>,</w:t>
            </w:r>
            <w:r w:rsidR="00923EC6">
              <w:rPr>
                <w:rFonts w:ascii="Times New Roman" w:hAnsi="Times New Roman"/>
                <w:szCs w:val="24"/>
              </w:rPr>
              <w:t xml:space="preserve"> предусмотрено в п.5.1 Договора и п.1.6. настоящим Техническим требованием,</w:t>
            </w:r>
            <w:r w:rsidR="00D129AE" w:rsidRPr="00D129AE">
              <w:rPr>
                <w:rFonts w:ascii="Times New Roman" w:hAnsi="Times New Roman"/>
                <w:szCs w:val="24"/>
              </w:rPr>
              <w:t xml:space="preserve"> должна быть осуществл</w:t>
            </w:r>
            <w:r w:rsidR="00046514">
              <w:rPr>
                <w:rFonts w:ascii="Times New Roman" w:hAnsi="Times New Roman"/>
                <w:szCs w:val="24"/>
              </w:rPr>
              <w:t>ена в полном объеме в течение 150</w:t>
            </w:r>
            <w:r w:rsidR="00D129AE" w:rsidRPr="00D129AE">
              <w:rPr>
                <w:rFonts w:ascii="Times New Roman" w:hAnsi="Times New Roman"/>
                <w:szCs w:val="24"/>
              </w:rPr>
              <w:t xml:space="preserve"> (</w:t>
            </w:r>
            <w:r w:rsidR="00046514">
              <w:rPr>
                <w:rFonts w:ascii="Times New Roman" w:hAnsi="Times New Roman"/>
                <w:szCs w:val="24"/>
              </w:rPr>
              <w:t>сто пятьдесят</w:t>
            </w:r>
            <w:r w:rsidR="00D129AE" w:rsidRPr="00D129AE">
              <w:rPr>
                <w:rFonts w:ascii="Times New Roman" w:hAnsi="Times New Roman"/>
                <w:szCs w:val="24"/>
              </w:rPr>
              <w:t>) календарных дней со дня заключения Договора.</w:t>
            </w:r>
            <w:r w:rsidR="00D129AE">
              <w:rPr>
                <w:rFonts w:ascii="Times New Roman" w:hAnsi="Times New Roman"/>
                <w:szCs w:val="24"/>
              </w:rPr>
              <w:t xml:space="preserve"> </w:t>
            </w:r>
          </w:p>
          <w:p w:rsidR="00804B9E" w:rsidRPr="00F207C2" w:rsidRDefault="00804B9E" w:rsidP="00D129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227638">
              <w:rPr>
                <w:rFonts w:ascii="Times New Roman" w:eastAsia="Times New Roman" w:hAnsi="Times New Roman"/>
                <w:lang w:eastAsia="ar-SA"/>
              </w:rPr>
              <w:t>Товар должен быть принят Заказчиком по количеству, ассортименту, комплектации и качеству в течение дней 30 календарных дней с момента прибытия Товара в 100% объеме с комплектом оригина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лов документов </w:t>
            </w:r>
            <w:r w:rsidRPr="00227638">
              <w:rPr>
                <w:rFonts w:ascii="Times New Roman" w:eastAsia="Times New Roman" w:hAnsi="Times New Roman"/>
                <w:lang w:eastAsia="ar-SA"/>
              </w:rPr>
              <w:t>в пункт назначения.</w:t>
            </w:r>
          </w:p>
          <w:p w:rsidR="003E7D15" w:rsidRPr="00F207C2" w:rsidRDefault="00C508B5" w:rsidP="000B4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207C2">
              <w:rPr>
                <w:rFonts w:ascii="Times New Roman" w:hAnsi="Times New Roman"/>
                <w:b/>
                <w:szCs w:val="24"/>
              </w:rPr>
              <w:t>1.12. Требования к осуществлению сборки, монтажа, пуско-наладки товара, проведению предварительных испытаний, вводу оборудования в эксплуатацию и обучению лиц, осуществляющих использование и обслуживание товара</w:t>
            </w:r>
            <w:r w:rsidR="00046514">
              <w:rPr>
                <w:rFonts w:ascii="Times New Roman" w:hAnsi="Times New Roman"/>
                <w:b/>
                <w:szCs w:val="24"/>
              </w:rPr>
              <w:t>:</w:t>
            </w:r>
            <w:r w:rsidR="00804B9E">
              <w:rPr>
                <w:rFonts w:ascii="Times New Roman" w:hAnsi="Times New Roman"/>
                <w:szCs w:val="24"/>
              </w:rPr>
              <w:t xml:space="preserve"> отсутствует</w:t>
            </w:r>
          </w:p>
          <w:p w:rsidR="00C508B5" w:rsidRPr="00F207C2" w:rsidRDefault="00C508B5" w:rsidP="000B41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F207C2">
              <w:rPr>
                <w:rFonts w:ascii="Times New Roman" w:hAnsi="Times New Roman"/>
                <w:b/>
                <w:szCs w:val="24"/>
              </w:rPr>
              <w:t>2. НАЧАЛЬНАЯ (МАКСИМАЛЬНАЯ) ЦЕНА ДОГОВОРА И ПОРЯДОК РАСЧЕТОВ</w:t>
            </w:r>
          </w:p>
          <w:p w:rsidR="00C508B5" w:rsidRPr="00F207C2" w:rsidRDefault="00C508B5" w:rsidP="00470E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Cs w:val="24"/>
              </w:rPr>
            </w:pPr>
            <w:r w:rsidRPr="00F207C2">
              <w:rPr>
                <w:rFonts w:ascii="Times New Roman" w:hAnsi="Times New Roman"/>
                <w:b/>
                <w:szCs w:val="24"/>
              </w:rPr>
              <w:t>2.1. Начальная (максимальная) цена договора (НМЦ)</w:t>
            </w:r>
            <w:r w:rsidR="005A0356">
              <w:rPr>
                <w:rFonts w:ascii="Times New Roman" w:hAnsi="Times New Roman"/>
                <w:szCs w:val="24"/>
              </w:rPr>
              <w:t xml:space="preserve"> </w:t>
            </w:r>
            <w:r w:rsidR="00F504FA">
              <w:rPr>
                <w:rFonts w:ascii="Times New Roman" w:hAnsi="Times New Roman"/>
                <w:szCs w:val="24"/>
              </w:rPr>
              <w:t>994 088</w:t>
            </w:r>
            <w:r w:rsidR="00970BCF">
              <w:rPr>
                <w:rFonts w:ascii="Times New Roman" w:hAnsi="Times New Roman"/>
                <w:szCs w:val="24"/>
              </w:rPr>
              <w:t xml:space="preserve"> </w:t>
            </w:r>
            <w:r w:rsidR="005A0356" w:rsidRPr="005A0356">
              <w:rPr>
                <w:rFonts w:ascii="Times New Roman" w:hAnsi="Times New Roman"/>
                <w:szCs w:val="24"/>
              </w:rPr>
              <w:t>(</w:t>
            </w:r>
            <w:r w:rsidR="00F504FA">
              <w:rPr>
                <w:rFonts w:ascii="Times New Roman" w:hAnsi="Times New Roman"/>
                <w:szCs w:val="24"/>
              </w:rPr>
              <w:t>девятьсот девяносто четыре тысячи восемьдесят восемь) рублей 00</w:t>
            </w:r>
            <w:r w:rsidR="005A0356" w:rsidRPr="005A0356">
              <w:rPr>
                <w:rFonts w:ascii="Times New Roman" w:hAnsi="Times New Roman"/>
                <w:szCs w:val="24"/>
              </w:rPr>
              <w:t xml:space="preserve"> копеек </w:t>
            </w:r>
            <w:r w:rsidR="00F504FA">
              <w:rPr>
                <w:rFonts w:ascii="Times New Roman" w:hAnsi="Times New Roman"/>
                <w:szCs w:val="24"/>
              </w:rPr>
              <w:t xml:space="preserve">без учета </w:t>
            </w:r>
            <w:r w:rsidR="005A0356" w:rsidRPr="005A0356">
              <w:rPr>
                <w:rFonts w:ascii="Times New Roman" w:hAnsi="Times New Roman"/>
                <w:szCs w:val="24"/>
              </w:rPr>
              <w:t xml:space="preserve"> НДС.</w:t>
            </w:r>
            <w:r w:rsidRPr="00F207C2">
              <w:rPr>
                <w:rFonts w:ascii="Times New Roman" w:hAnsi="Times New Roman"/>
                <w:szCs w:val="24"/>
              </w:rPr>
              <w:t xml:space="preserve"> </w:t>
            </w:r>
          </w:p>
          <w:p w:rsidR="00C508B5" w:rsidRPr="00F207C2" w:rsidRDefault="00C508B5" w:rsidP="00470E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F207C2">
              <w:rPr>
                <w:rFonts w:ascii="Times New Roman" w:hAnsi="Times New Roman"/>
                <w:b/>
                <w:szCs w:val="24"/>
              </w:rPr>
              <w:t>2.2. Порядок формирования начальной (максимальной) цены</w:t>
            </w:r>
            <w:r w:rsidR="00804B9E">
              <w:rPr>
                <w:rFonts w:ascii="Times New Roman" w:hAnsi="Times New Roman"/>
                <w:szCs w:val="24"/>
              </w:rPr>
              <w:t xml:space="preserve"> </w:t>
            </w:r>
            <w:r w:rsidR="00804B9E" w:rsidRPr="009A7764">
              <w:rPr>
                <w:rFonts w:ascii="Times New Roman" w:hAnsi="Times New Roman"/>
                <w:szCs w:val="24"/>
              </w:rPr>
              <w:t>В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 и иные расходы, связанные с поставкой товара</w:t>
            </w:r>
          </w:p>
          <w:p w:rsidR="00C508B5" w:rsidRPr="00F207C2" w:rsidRDefault="00C508B5" w:rsidP="00470ED7">
            <w:pPr>
              <w:widowControl w:val="0"/>
              <w:tabs>
                <w:tab w:val="left" w:pos="98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F207C2">
              <w:rPr>
                <w:rFonts w:ascii="Times New Roman" w:hAnsi="Times New Roman"/>
                <w:b/>
                <w:szCs w:val="24"/>
              </w:rPr>
              <w:t>2.3. Определение цены договора</w:t>
            </w:r>
            <w:r w:rsidRPr="00F207C2">
              <w:rPr>
                <w:rFonts w:ascii="Times New Roman" w:hAnsi="Times New Roman"/>
                <w:szCs w:val="24"/>
              </w:rPr>
              <w:t>:</w:t>
            </w:r>
            <w:r w:rsidRPr="00F207C2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</w:t>
            </w:r>
            <w:r w:rsidR="001E432F">
              <w:rPr>
                <w:rFonts w:ascii="Times New Roman" w:hAnsi="Times New Roman"/>
                <w:szCs w:val="24"/>
              </w:rPr>
              <w:t>По результатам</w:t>
            </w:r>
            <w:r w:rsidR="00B3681B">
              <w:rPr>
                <w:rFonts w:ascii="Times New Roman" w:hAnsi="Times New Roman"/>
                <w:szCs w:val="24"/>
              </w:rPr>
              <w:t xml:space="preserve"> </w:t>
            </w:r>
            <w:r w:rsidR="001E432F">
              <w:rPr>
                <w:rFonts w:ascii="Times New Roman" w:hAnsi="Times New Roman"/>
                <w:szCs w:val="24"/>
              </w:rPr>
              <w:t>электронной процедуры, на основании предложения победителя с лучшими условиями</w:t>
            </w:r>
            <w:r w:rsidR="00B3681B">
              <w:rPr>
                <w:rFonts w:ascii="Times New Roman" w:hAnsi="Times New Roman"/>
                <w:szCs w:val="24"/>
              </w:rPr>
              <w:t xml:space="preserve"> исполнениями Договора на основании установленных критериев</w:t>
            </w:r>
            <w:r w:rsidR="00923EC6">
              <w:rPr>
                <w:rFonts w:ascii="Times New Roman" w:hAnsi="Times New Roman"/>
                <w:szCs w:val="24"/>
              </w:rPr>
              <w:t xml:space="preserve"> оценки согласно Документации о закупке и настоящими техническими требованиями</w:t>
            </w:r>
          </w:p>
          <w:p w:rsidR="00536416" w:rsidRDefault="00C508B5" w:rsidP="00536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F207C2">
              <w:rPr>
                <w:rFonts w:ascii="Times New Roman" w:hAnsi="Times New Roman"/>
                <w:b/>
                <w:szCs w:val="24"/>
              </w:rPr>
              <w:t>2.4. Порядок расчетов по договору</w:t>
            </w:r>
            <w:r w:rsidR="00536416">
              <w:rPr>
                <w:rFonts w:ascii="Times New Roman" w:hAnsi="Times New Roman"/>
                <w:szCs w:val="24"/>
              </w:rPr>
              <w:t>:</w:t>
            </w:r>
            <w:r w:rsidR="009A7764" w:rsidRPr="009A7764">
              <w:rPr>
                <w:rFonts w:ascii="Times New Roman" w:hAnsi="Times New Roman"/>
                <w:szCs w:val="24"/>
              </w:rPr>
              <w:t xml:space="preserve"> Расчет за поставленный товар (партию товара) осуществляется в течение 30 (тридцать) календарных дней со дня подписания Заказчиком оригинала документа о приемке Товара, на основании представленных Поставщиком оригиналов счета на оплату и счета-фактуры (при наличии) / (в случае, если Поставщик является субъектом малого и/или среднего предпринимательства, то расчет за поставленный товар (партию товара) осуществляется в течение 7 (семь) рабочих дней со дня подписания Заказчиком оригинала документа о приемке Товара, на основании представленных Поставщиком оригиналов счета на оплату и счета-фактуры (при наличии).</w:t>
            </w:r>
          </w:p>
          <w:p w:rsidR="00536416" w:rsidRDefault="00536416" w:rsidP="00536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536416" w:rsidRDefault="00C508B5" w:rsidP="00536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 w:rsidRPr="00F207C2">
              <w:rPr>
                <w:rFonts w:ascii="Times New Roman" w:hAnsi="Times New Roman"/>
                <w:b/>
                <w:szCs w:val="24"/>
              </w:rPr>
              <w:t>3. УСЛОВИЯ ОСУЩЕСТВЛЕНИЯ ЗАКУПКИ</w:t>
            </w:r>
          </w:p>
          <w:p w:rsidR="00536416" w:rsidRPr="00536416" w:rsidRDefault="00536416" w:rsidP="005364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0B4153" w:rsidRDefault="00C508B5" w:rsidP="000B4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207C2">
              <w:rPr>
                <w:rFonts w:ascii="Times New Roman" w:hAnsi="Times New Roman"/>
                <w:b/>
                <w:szCs w:val="24"/>
              </w:rPr>
              <w:t>3.1. Сроки поставки товара</w:t>
            </w:r>
            <w:r w:rsidR="00046514">
              <w:rPr>
                <w:rFonts w:ascii="Times New Roman" w:hAnsi="Times New Roman"/>
                <w:szCs w:val="24"/>
              </w:rPr>
              <w:t xml:space="preserve"> </w:t>
            </w:r>
            <w:r w:rsidR="000B4153" w:rsidRPr="000B4153">
              <w:rPr>
                <w:rFonts w:ascii="Times New Roman" w:hAnsi="Times New Roman"/>
                <w:szCs w:val="24"/>
              </w:rPr>
              <w:t>Поставка товара с комплектом оригиналов документов, предусмотренных пунктом 5.1. Договора, должна быть осуществлена в полном объеме в течение 150 (сто пят</w:t>
            </w:r>
            <w:r w:rsidR="00536416">
              <w:rPr>
                <w:rFonts w:ascii="Times New Roman" w:hAnsi="Times New Roman"/>
                <w:szCs w:val="24"/>
              </w:rPr>
              <w:t>ь</w:t>
            </w:r>
            <w:r w:rsidR="000B4153" w:rsidRPr="000B4153">
              <w:rPr>
                <w:rFonts w:ascii="Times New Roman" w:hAnsi="Times New Roman"/>
                <w:szCs w:val="24"/>
              </w:rPr>
              <w:t>десят) календарных дней со дня заключения Договора.</w:t>
            </w:r>
          </w:p>
          <w:p w:rsidR="000B4153" w:rsidRDefault="00C508B5" w:rsidP="000B4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207C2">
              <w:rPr>
                <w:rFonts w:ascii="Times New Roman" w:hAnsi="Times New Roman"/>
                <w:b/>
                <w:szCs w:val="24"/>
              </w:rPr>
              <w:t>3.2. Место поставки товара</w:t>
            </w:r>
            <w:r w:rsidR="00804B9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B4153" w:rsidRPr="000B4153">
              <w:rPr>
                <w:rFonts w:ascii="Times New Roman" w:hAnsi="Times New Roman"/>
                <w:szCs w:val="24"/>
              </w:rPr>
              <w:t xml:space="preserve">Место (места) поставки товара: 677021, Республика Саха (Якутия), г. Якутск, ул. </w:t>
            </w:r>
            <w:r w:rsidR="000B4153" w:rsidRPr="000B4153">
              <w:rPr>
                <w:rFonts w:ascii="Times New Roman" w:hAnsi="Times New Roman"/>
                <w:szCs w:val="24"/>
              </w:rPr>
              <w:lastRenderedPageBreak/>
              <w:t>Автодорожная, 36.</w:t>
            </w:r>
          </w:p>
          <w:p w:rsidR="00C508B5" w:rsidRPr="00F207C2" w:rsidRDefault="00C508B5" w:rsidP="000B4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207C2">
              <w:rPr>
                <w:rFonts w:ascii="Times New Roman" w:hAnsi="Times New Roman"/>
                <w:b/>
                <w:szCs w:val="24"/>
              </w:rPr>
              <w:t>3.3. Условия поставки товара</w:t>
            </w:r>
            <w:r w:rsidR="005A0356">
              <w:rPr>
                <w:rFonts w:ascii="Times New Roman" w:hAnsi="Times New Roman"/>
                <w:szCs w:val="24"/>
              </w:rPr>
              <w:t xml:space="preserve"> </w:t>
            </w:r>
            <w:r w:rsidR="000B4153" w:rsidRPr="000B4153">
              <w:rPr>
                <w:rFonts w:ascii="Times New Roman" w:hAnsi="Times New Roman"/>
                <w:szCs w:val="24"/>
              </w:rPr>
              <w:t>Поставка товара с комплектом оригиналов документов, предусмотренных пунктом 5.1. Договора, должна быть осуществлена в полном объеме в течение 150 (сто пят</w:t>
            </w:r>
            <w:r w:rsidR="009A7764">
              <w:rPr>
                <w:rFonts w:ascii="Times New Roman" w:hAnsi="Times New Roman"/>
                <w:szCs w:val="24"/>
              </w:rPr>
              <w:t>ь</w:t>
            </w:r>
            <w:r w:rsidR="000B4153" w:rsidRPr="000B4153">
              <w:rPr>
                <w:rFonts w:ascii="Times New Roman" w:hAnsi="Times New Roman"/>
                <w:szCs w:val="24"/>
              </w:rPr>
              <w:t>десят) календарных дн</w:t>
            </w:r>
            <w:r w:rsidR="000B4153">
              <w:rPr>
                <w:rFonts w:ascii="Times New Roman" w:hAnsi="Times New Roman"/>
                <w:szCs w:val="24"/>
              </w:rPr>
              <w:t xml:space="preserve">ей со дня заключения Договора. </w:t>
            </w:r>
            <w:r w:rsidR="000B4153" w:rsidRPr="000B4153">
              <w:rPr>
                <w:rFonts w:ascii="Times New Roman" w:hAnsi="Times New Roman"/>
                <w:szCs w:val="24"/>
              </w:rPr>
              <w:t>Поставка осуществляется по будним дням в период с 08-15 часов до 17-15 часов (по местному времени Заказчика).</w:t>
            </w:r>
          </w:p>
          <w:p w:rsidR="00C508B5" w:rsidRPr="00F207C2" w:rsidRDefault="00C508B5" w:rsidP="000B4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:rsidR="00C508B5" w:rsidRPr="00F207C2" w:rsidRDefault="00C508B5" w:rsidP="000B4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F207C2">
              <w:rPr>
                <w:rFonts w:ascii="Times New Roman" w:hAnsi="Times New Roman"/>
                <w:b/>
                <w:szCs w:val="24"/>
              </w:rPr>
              <w:t>4. УСЛОВИЯ ПРОВЕДЕНИЯ ЗАКУПКИ</w:t>
            </w:r>
          </w:p>
          <w:p w:rsidR="005A0356" w:rsidRDefault="00C508B5" w:rsidP="00470E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F207C2">
              <w:rPr>
                <w:rFonts w:ascii="Times New Roman" w:hAnsi="Times New Roman"/>
                <w:b/>
                <w:szCs w:val="24"/>
              </w:rPr>
              <w:t>4.1. Размер обеспечения заявки на участие закупке</w:t>
            </w:r>
            <w:r w:rsidR="005A0356">
              <w:rPr>
                <w:rFonts w:ascii="Times New Roman" w:hAnsi="Times New Roman"/>
                <w:szCs w:val="24"/>
              </w:rPr>
              <w:t xml:space="preserve"> не установлен.</w:t>
            </w:r>
          </w:p>
          <w:p w:rsidR="00C508B5" w:rsidRPr="00F207C2" w:rsidRDefault="00C508B5" w:rsidP="00470E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F207C2">
              <w:rPr>
                <w:rFonts w:ascii="Times New Roman" w:hAnsi="Times New Roman"/>
                <w:b/>
                <w:szCs w:val="24"/>
              </w:rPr>
              <w:t>4.2. Размер обеспечения исполнения договора</w:t>
            </w:r>
            <w:r w:rsidR="005A0356">
              <w:rPr>
                <w:rFonts w:ascii="Times New Roman" w:hAnsi="Times New Roman"/>
                <w:szCs w:val="24"/>
              </w:rPr>
              <w:t xml:space="preserve"> не установлен.</w:t>
            </w:r>
          </w:p>
          <w:p w:rsidR="00C508B5" w:rsidRPr="005A0356" w:rsidRDefault="00C508B5" w:rsidP="00470E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F207C2">
              <w:rPr>
                <w:rFonts w:ascii="Times New Roman" w:hAnsi="Times New Roman"/>
                <w:b/>
                <w:szCs w:val="24"/>
              </w:rPr>
              <w:t xml:space="preserve">4.3. Особенности участия субъектов малого и среднего предпринимательства в закупке, осуществляемой Заказчиком </w:t>
            </w:r>
            <w:r w:rsidR="00E12D33">
              <w:rPr>
                <w:rFonts w:ascii="Times New Roman" w:hAnsi="Times New Roman"/>
                <w:szCs w:val="24"/>
              </w:rPr>
              <w:t>нет</w:t>
            </w:r>
            <w:r w:rsidR="005A0356">
              <w:rPr>
                <w:rFonts w:ascii="Times New Roman" w:hAnsi="Times New Roman"/>
                <w:szCs w:val="24"/>
              </w:rPr>
              <w:t>.</w:t>
            </w:r>
          </w:p>
          <w:p w:rsidR="00C508B5" w:rsidRPr="005A0356" w:rsidRDefault="00C508B5" w:rsidP="00470E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F207C2">
              <w:rPr>
                <w:rFonts w:ascii="Times New Roman" w:hAnsi="Times New Roman"/>
                <w:b/>
                <w:bCs/>
                <w:szCs w:val="24"/>
              </w:rPr>
              <w:t>4.4. Установление приоритета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r w:rsidR="005A0356">
              <w:rPr>
                <w:rFonts w:ascii="Times New Roman" w:hAnsi="Times New Roman"/>
                <w:b/>
                <w:bCs/>
                <w:szCs w:val="24"/>
              </w:rPr>
              <w:t xml:space="preserve">» </w:t>
            </w:r>
            <w:r w:rsidR="005A0356">
              <w:rPr>
                <w:rFonts w:ascii="Times New Roman" w:hAnsi="Times New Roman"/>
                <w:bCs/>
                <w:szCs w:val="24"/>
              </w:rPr>
              <w:t>нет.</w:t>
            </w:r>
          </w:p>
          <w:p w:rsidR="00C508B5" w:rsidRDefault="00C508B5" w:rsidP="00470E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F207C2">
              <w:rPr>
                <w:rFonts w:ascii="Times New Roman" w:hAnsi="Times New Roman"/>
                <w:b/>
                <w:szCs w:val="24"/>
              </w:rPr>
              <w:t xml:space="preserve">4.5. Критерии оценки заявок на участие в конкурсе и запросе предложений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2"/>
              <w:gridCol w:w="1111"/>
              <w:gridCol w:w="1232"/>
              <w:gridCol w:w="1277"/>
              <w:gridCol w:w="1277"/>
              <w:gridCol w:w="1133"/>
              <w:gridCol w:w="3288"/>
            </w:tblGrid>
            <w:tr w:rsidR="00E12D33" w:rsidRPr="004D347D" w:rsidTr="00E12D33">
              <w:trPr>
                <w:cantSplit/>
              </w:trPr>
              <w:tc>
                <w:tcPr>
                  <w:tcW w:w="446" w:type="pct"/>
                  <w:vMerge w:val="restart"/>
                  <w:shd w:val="clear" w:color="auto" w:fill="D5DCE4"/>
                  <w:vAlign w:val="center"/>
                </w:tcPr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D347D">
                    <w:rPr>
                      <w:rFonts w:ascii="Times New Roman" w:hAnsi="Times New Roman"/>
                    </w:rPr>
                    <w:t>Номер критерия оценки в структуре</w:t>
                  </w:r>
                </w:p>
              </w:tc>
              <w:tc>
                <w:tcPr>
                  <w:tcW w:w="543" w:type="pct"/>
                  <w:vMerge w:val="restart"/>
                  <w:shd w:val="clear" w:color="auto" w:fill="D5DCE4"/>
                  <w:vAlign w:val="center"/>
                </w:tcPr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D347D">
                    <w:rPr>
                      <w:rFonts w:ascii="Times New Roman" w:hAnsi="Times New Roman"/>
                      <w:bCs/>
                    </w:rPr>
                    <w:t>Направление оценки заявок</w:t>
                  </w:r>
                </w:p>
              </w:tc>
              <w:tc>
                <w:tcPr>
                  <w:tcW w:w="1226" w:type="pct"/>
                  <w:gridSpan w:val="2"/>
                  <w:tcBorders>
                    <w:bottom w:val="single" w:sz="4" w:space="0" w:color="auto"/>
                  </w:tcBorders>
                  <w:shd w:val="clear" w:color="auto" w:fill="D5DCE4"/>
                  <w:vAlign w:val="center"/>
                </w:tcPr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D347D">
                    <w:rPr>
                      <w:rFonts w:ascii="Times New Roman" w:hAnsi="Times New Roman"/>
                    </w:rPr>
                    <w:t>Наименование критерия оценки</w:t>
                  </w:r>
                </w:p>
              </w:tc>
              <w:tc>
                <w:tcPr>
                  <w:tcW w:w="624" w:type="pct"/>
                  <w:vMerge w:val="restart"/>
                  <w:shd w:val="clear" w:color="auto" w:fill="D5DCE4"/>
                  <w:vAlign w:val="center"/>
                </w:tcPr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D347D">
                    <w:rPr>
                      <w:rFonts w:ascii="Times New Roman" w:hAnsi="Times New Roman"/>
                    </w:rPr>
                    <w:t>Значимость критерия оценки</w:t>
                  </w:r>
                </w:p>
              </w:tc>
              <w:tc>
                <w:tcPr>
                  <w:tcW w:w="554" w:type="pct"/>
                  <w:vMerge w:val="restart"/>
                  <w:shd w:val="clear" w:color="auto" w:fill="D5DCE4"/>
                  <w:vAlign w:val="center"/>
                </w:tcPr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D347D">
                    <w:rPr>
                      <w:rFonts w:ascii="Times New Roman" w:hAnsi="Times New Roman"/>
                    </w:rPr>
                    <w:t>Содержание частного критерия оценки</w:t>
                  </w:r>
                </w:p>
              </w:tc>
              <w:tc>
                <w:tcPr>
                  <w:tcW w:w="1608" w:type="pct"/>
                  <w:vMerge w:val="restart"/>
                  <w:shd w:val="clear" w:color="auto" w:fill="D5DCE4"/>
                  <w:vAlign w:val="center"/>
                </w:tcPr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D347D">
                    <w:rPr>
                      <w:rFonts w:ascii="Times New Roman" w:hAnsi="Times New Roman"/>
                    </w:rPr>
                    <w:t>Расчет оценки предпочтительности заявки</w:t>
                  </w:r>
                </w:p>
              </w:tc>
            </w:tr>
            <w:tr w:rsidR="00E12D33" w:rsidRPr="004D347D" w:rsidTr="00E12D33">
              <w:trPr>
                <w:cantSplit/>
              </w:trPr>
              <w:tc>
                <w:tcPr>
                  <w:tcW w:w="446" w:type="pct"/>
                  <w:vMerge/>
                  <w:shd w:val="clear" w:color="auto" w:fill="D5DCE4"/>
                  <w:vAlign w:val="center"/>
                </w:tcPr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3" w:type="pct"/>
                  <w:vMerge/>
                  <w:shd w:val="clear" w:color="auto" w:fill="D5DCE4"/>
                  <w:vAlign w:val="center"/>
                </w:tcPr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2" w:type="pct"/>
                  <w:shd w:val="clear" w:color="auto" w:fill="D5DCE4"/>
                  <w:vAlign w:val="center"/>
                </w:tcPr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D347D">
                    <w:rPr>
                      <w:rFonts w:ascii="Times New Roman" w:hAnsi="Times New Roman"/>
                    </w:rPr>
                    <w:t>критерий оценки первого уровня</w:t>
                  </w:r>
                </w:p>
              </w:tc>
              <w:tc>
                <w:tcPr>
                  <w:tcW w:w="624" w:type="pct"/>
                  <w:tcBorders>
                    <w:bottom w:val="single" w:sz="4" w:space="0" w:color="auto"/>
                  </w:tcBorders>
                  <w:shd w:val="clear" w:color="auto" w:fill="D5DCE4"/>
                  <w:vAlign w:val="center"/>
                </w:tcPr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D347D">
                    <w:rPr>
                      <w:rFonts w:ascii="Times New Roman" w:hAnsi="Times New Roman"/>
                    </w:rPr>
                    <w:t>критерий оценки второго уровня</w:t>
                  </w:r>
                </w:p>
              </w:tc>
              <w:tc>
                <w:tcPr>
                  <w:tcW w:w="624" w:type="pct"/>
                  <w:vMerge/>
                  <w:shd w:val="clear" w:color="auto" w:fill="D5DCE4"/>
                  <w:vAlign w:val="center"/>
                </w:tcPr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4" w:type="pct"/>
                  <w:vMerge/>
                  <w:shd w:val="clear" w:color="auto" w:fill="D5DCE4"/>
                  <w:vAlign w:val="center"/>
                </w:tcPr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08" w:type="pct"/>
                  <w:vMerge/>
                  <w:shd w:val="clear" w:color="auto" w:fill="D5DCE4"/>
                  <w:vAlign w:val="center"/>
                </w:tcPr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12D33" w:rsidRPr="004D347D" w:rsidTr="00E12D33">
              <w:trPr>
                <w:trHeight w:val="2129"/>
              </w:trPr>
              <w:tc>
                <w:tcPr>
                  <w:tcW w:w="446" w:type="pct"/>
                  <w:shd w:val="clear" w:color="auto" w:fill="auto"/>
                </w:tcPr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D347D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43" w:type="pct"/>
                  <w:shd w:val="clear" w:color="auto" w:fill="auto"/>
                </w:tcPr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D347D">
                    <w:rPr>
                      <w:rFonts w:ascii="Times New Roman" w:hAnsi="Times New Roman"/>
                      <w:i/>
                      <w:shd w:val="clear" w:color="auto" w:fill="FFFFFF"/>
                    </w:rPr>
                    <w:t>ЦЕНА</w:t>
                  </w:r>
                </w:p>
              </w:tc>
              <w:tc>
                <w:tcPr>
                  <w:tcW w:w="602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D347D">
                    <w:rPr>
                      <w:rFonts w:ascii="Times New Roman" w:hAnsi="Times New Roman"/>
                      <w:shd w:val="clear" w:color="auto" w:fill="FFFFFF"/>
                    </w:rPr>
                    <w:t>Цена договора</w:t>
                  </w:r>
                </w:p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4D347D">
                    <w:rPr>
                      <w:rFonts w:ascii="Times New Roman" w:hAnsi="Times New Roman"/>
                    </w:rPr>
                    <w:t>отсутствует</w:t>
                  </w:r>
                </w:p>
              </w:tc>
              <w:tc>
                <w:tcPr>
                  <w:tcW w:w="62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D347D">
                    <w:rPr>
                      <w:rFonts w:ascii="Times New Roman" w:hAnsi="Times New Roman"/>
                    </w:rPr>
                    <w:t>90%</w:t>
                  </w:r>
                  <w:r w:rsidRPr="004D347D">
                    <w:rPr>
                      <w:rFonts w:ascii="Times New Roman" w:hAnsi="Times New Roman"/>
                    </w:rPr>
                    <w:br/>
                    <w:t>(В</w:t>
                  </w:r>
                  <w:r w:rsidRPr="004D347D">
                    <w:rPr>
                      <w:rFonts w:ascii="Times New Roman" w:hAnsi="Times New Roman"/>
                      <w:vertAlign w:val="subscript"/>
                    </w:rPr>
                    <w:t>1</w:t>
                  </w:r>
                  <w:r w:rsidRPr="004D347D">
                    <w:rPr>
                      <w:rFonts w:ascii="Times New Roman" w:hAnsi="Times New Roman"/>
                    </w:rPr>
                    <w:t xml:space="preserve"> = 0,90)</w:t>
                  </w:r>
                </w:p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4D347D">
                    <w:rPr>
                      <w:rFonts w:ascii="Times New Roman" w:hAnsi="Times New Roman"/>
                    </w:rPr>
                    <w:t>Чем меньше цена заявки Участника, тем выше предпочтительность</w:t>
                  </w:r>
                </w:p>
              </w:tc>
              <w:tc>
                <w:tcPr>
                  <w:tcW w:w="1608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pacing w:beforeLines="40" w:before="96" w:afterLines="40" w:after="96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4D347D">
                    <w:rPr>
                      <w:rFonts w:ascii="Times New Roman" w:hAnsi="Times New Roman"/>
                    </w:rPr>
                    <w:t>Расчет оценки предпочтительности по частному критерию по методу «Математическая формула, задающая «функцию ценности»»:</w:t>
                  </w:r>
                </w:p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pacing w:line="240" w:lineRule="auto"/>
                    <w:contextualSpacing/>
                    <w:rPr>
                      <w:rFonts w:ascii="Times New Roman" w:eastAsia="Times New Roman" w:hAnsi="Times New Roman"/>
                      <w:i/>
                      <w:snapToGrid w:val="0"/>
                      <w:shd w:val="clear" w:color="auto" w:fill="FFFF99"/>
                    </w:rPr>
                  </w:pPr>
                  <w:r w:rsidRPr="004D347D">
                    <w:rPr>
                      <w:rFonts w:ascii="Times New Roman" w:hAnsi="Times New Roman"/>
                    </w:rPr>
                    <w:t xml:space="preserve"> </w:t>
                  </w:r>
                  <m:oMath>
                    <m:r>
                      <w:rPr>
                        <w:rFonts w:ascii="Cambria Math" w:eastAsia="Times New Roman" w:hAnsi="Cambria Math"/>
                        <w:snapToGrid w:val="0"/>
                        <w:shd w:val="clear" w:color="auto" w:fill="FFFF99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napToGrid w:val="0"/>
                            <w:shd w:val="clear" w:color="auto" w:fill="FFFF99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napToGrid w:val="0"/>
                            <w:shd w:val="clear" w:color="auto" w:fill="FFFF99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napToGrid w:val="0"/>
                            <w:shd w:val="clear" w:color="auto" w:fill="FFFF99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napToGrid w:val="0"/>
                        <w:shd w:val="clear" w:color="auto" w:fill="FFFF99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napToGrid w:val="0"/>
                            <w:shd w:val="clear" w:color="auto" w:fill="FFFF99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napToGrid w:val="0"/>
                                <w:shd w:val="clear" w:color="auto" w:fill="FFFF99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napToGrid w:val="0"/>
                                <w:shd w:val="clear" w:color="auto" w:fill="FFFF99"/>
                              </w:rPr>
                              <m:t>ЦЕНА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napToGrid w:val="0"/>
                                <w:shd w:val="clear" w:color="auto" w:fill="FFFF99"/>
                              </w:rPr>
                              <m:t>min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napToGrid w:val="0"/>
                                <w:shd w:val="clear" w:color="auto" w:fill="FFFF99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napToGrid w:val="0"/>
                                <w:shd w:val="clear" w:color="auto" w:fill="FFFF99"/>
                              </w:rPr>
                              <m:t>ЦЕНА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napToGrid w:val="0"/>
                                <w:shd w:val="clear" w:color="auto" w:fill="FFFF99"/>
                              </w:rPr>
                              <m:t>i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Cambria Math"/>
                        <w:snapToGrid w:val="0"/>
                        <w:shd w:val="clear" w:color="auto" w:fill="FFFF99"/>
                      </w:rPr>
                      <m:t>×Ш,</m:t>
                    </m:r>
                  </m:oMath>
                  <w:r w:rsidRPr="004D347D">
                    <w:rPr>
                      <w:rFonts w:ascii="Times New Roman" w:eastAsia="Times New Roman" w:hAnsi="Times New Roman"/>
                      <w:i/>
                      <w:snapToGrid w:val="0"/>
                      <w:shd w:val="clear" w:color="auto" w:fill="FFFF99"/>
                    </w:rPr>
                    <w:fldChar w:fldCharType="begin"/>
                  </w:r>
                  <w:r w:rsidRPr="004D347D">
                    <w:rPr>
                      <w:rFonts w:ascii="Times New Roman" w:eastAsia="Times New Roman" w:hAnsi="Times New Roman"/>
                      <w:i/>
                      <w:snapToGrid w:val="0"/>
                      <w:shd w:val="clear" w:color="auto" w:fill="FFFF99"/>
                    </w:rPr>
                    <w:instrText xml:space="preserve"> QUOTE </w:instrText>
                  </w:r>
                  <w:r w:rsidRPr="004D347D">
                    <w:rPr>
                      <w:rFonts w:ascii="Times New Roman" w:eastAsia="Times New Roman" w:hAnsi="Times New Roman"/>
                      <w:i/>
                      <w:noProof/>
                      <w:snapToGrid w:val="0"/>
                      <w:shd w:val="clear" w:color="auto" w:fill="FFFF99"/>
                      <w:lang w:eastAsia="ru-RU"/>
                    </w:rPr>
                    <w:drawing>
                      <wp:inline distT="0" distB="0" distL="0" distR="0" wp14:anchorId="6211D038" wp14:editId="606DED34">
                        <wp:extent cx="1009650" cy="295275"/>
                        <wp:effectExtent l="0" t="0" r="0" b="0"/>
                        <wp:docPr id="1" name="Рисунок 20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08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D347D">
                    <w:rPr>
                      <w:rFonts w:ascii="Times New Roman" w:eastAsia="Times New Roman" w:hAnsi="Times New Roman"/>
                      <w:i/>
                      <w:snapToGrid w:val="0"/>
                      <w:shd w:val="clear" w:color="auto" w:fill="FFFF99"/>
                    </w:rPr>
                    <w:instrText xml:space="preserve"> </w:instrText>
                  </w:r>
                  <w:r w:rsidRPr="004D347D">
                    <w:rPr>
                      <w:rFonts w:ascii="Times New Roman" w:eastAsia="Times New Roman" w:hAnsi="Times New Roman"/>
                      <w:i/>
                      <w:snapToGrid w:val="0"/>
                      <w:shd w:val="clear" w:color="auto" w:fill="FFFF99"/>
                    </w:rPr>
                    <w:fldChar w:fldCharType="end"/>
                  </w:r>
                </w:p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pacing w:beforeLines="40" w:before="96" w:afterLines="40" w:after="96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4D347D">
                    <w:rPr>
                      <w:rFonts w:ascii="Times New Roman" w:hAnsi="Times New Roman"/>
                    </w:rPr>
                    <w:t>где:</w:t>
                  </w:r>
                </w:p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pacing w:beforeLines="40" w:before="96" w:afterLines="40" w:after="96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4D347D">
                    <w:rPr>
                      <w:rFonts w:ascii="Times New Roman" w:hAnsi="Times New Roman"/>
                    </w:rPr>
                    <w:t>Б</w:t>
                  </w:r>
                  <w:r w:rsidRPr="004D347D">
                    <w:rPr>
                      <w:rFonts w:ascii="Times New Roman" w:hAnsi="Times New Roman"/>
                      <w:vertAlign w:val="subscript"/>
                    </w:rPr>
                    <w:t xml:space="preserve">1 </w:t>
                  </w:r>
                  <w:r w:rsidRPr="004D347D">
                    <w:rPr>
                      <w:rFonts w:ascii="Times New Roman" w:hAnsi="Times New Roman"/>
                    </w:rPr>
                    <w:t>– рассчитанная оценка предпочтительности по данному частному критерию оценки в баллах;</w:t>
                  </w:r>
                </w:p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pacing w:beforeLines="40" w:before="96" w:afterLines="40" w:after="96" w:line="240" w:lineRule="auto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4D347D">
                    <w:rPr>
                      <w:rFonts w:ascii="Times New Roman" w:hAnsi="Times New Roman"/>
                    </w:rPr>
                    <w:t>ЦЕНАi</w:t>
                  </w:r>
                  <w:proofErr w:type="spellEnd"/>
                  <w:r w:rsidRPr="004D347D">
                    <w:rPr>
                      <w:rFonts w:ascii="Times New Roman" w:hAnsi="Times New Roman"/>
                    </w:rPr>
                    <w:t xml:space="preserve"> – цена договора (заявки), указанная в заявке допущенного участника, руб. без учета НДС;</w:t>
                  </w:r>
                </w:p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pacing w:beforeLines="40" w:before="96" w:afterLines="40" w:after="96" w:line="240" w:lineRule="auto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4D347D">
                    <w:rPr>
                      <w:rFonts w:ascii="Times New Roman" w:hAnsi="Times New Roman"/>
                    </w:rPr>
                    <w:t>ЦЕНАmin</w:t>
                  </w:r>
                  <w:proofErr w:type="spellEnd"/>
                  <w:r w:rsidRPr="004D347D">
                    <w:rPr>
                      <w:rFonts w:ascii="Times New Roman" w:hAnsi="Times New Roman"/>
                    </w:rPr>
                    <w:t xml:space="preserve"> – минимальная цена договора (заявки) среди всех допущенных заявок участников, руб. без учета НДС;</w:t>
                  </w:r>
                </w:p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pacing w:beforeLines="40" w:before="96" w:afterLines="40" w:after="96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4D347D">
                    <w:rPr>
                      <w:rFonts w:ascii="Times New Roman" w:hAnsi="Times New Roman"/>
                    </w:rPr>
                    <w:t>Ш –  максимально возможный балл (максимальная возможная оценка предпочтительности) по шкале оценок (Ш = 5)].</w:t>
                  </w:r>
                </w:p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pacing w:beforeLines="40" w:before="96" w:afterLines="40" w:after="96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4D347D">
                    <w:rPr>
                      <w:rFonts w:ascii="Times New Roman" w:hAnsi="Times New Roman"/>
                    </w:rPr>
                    <w:t>Оценка предпочтительности заявок осуществляется в едином базисе сопоставления ценовых (стоимостных) предложений: без учета НДС» и т.д.</w:t>
                  </w:r>
                </w:p>
              </w:tc>
            </w:tr>
            <w:tr w:rsidR="00E12D33" w:rsidRPr="004D347D" w:rsidTr="00E12D33">
              <w:tc>
                <w:tcPr>
                  <w:tcW w:w="446" w:type="pct"/>
                  <w:shd w:val="clear" w:color="auto" w:fill="auto"/>
                </w:tcPr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D347D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543" w:type="pct"/>
                  <w:shd w:val="clear" w:color="auto" w:fill="auto"/>
                </w:tcPr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D347D">
                    <w:rPr>
                      <w:rFonts w:ascii="Times New Roman" w:hAnsi="Times New Roman"/>
                    </w:rPr>
                    <w:t>ТЕХ</w:t>
                  </w:r>
                </w:p>
              </w:tc>
              <w:tc>
                <w:tcPr>
                  <w:tcW w:w="602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D347D">
                    <w:rPr>
                      <w:rFonts w:ascii="Times New Roman" w:hAnsi="Times New Roman"/>
                    </w:rPr>
                    <w:t>Срок поставки товара</w:t>
                  </w:r>
                </w:p>
              </w:tc>
              <w:tc>
                <w:tcPr>
                  <w:tcW w:w="62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4D347D">
                    <w:rPr>
                      <w:rFonts w:ascii="Times New Roman" w:hAnsi="Times New Roman"/>
                      <w:i/>
                    </w:rPr>
                    <w:t>отсутствует</w:t>
                  </w:r>
                </w:p>
              </w:tc>
              <w:tc>
                <w:tcPr>
                  <w:tcW w:w="62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D347D">
                    <w:rPr>
                      <w:rFonts w:ascii="Times New Roman" w:hAnsi="Times New Roman"/>
                    </w:rPr>
                    <w:t>10% (В</w:t>
                  </w:r>
                  <w:r w:rsidRPr="004D347D">
                    <w:rPr>
                      <w:rFonts w:ascii="Times New Roman" w:hAnsi="Times New Roman"/>
                      <w:vertAlign w:val="subscript"/>
                    </w:rPr>
                    <w:t>2</w:t>
                  </w:r>
                  <w:r w:rsidRPr="004D347D">
                    <w:rPr>
                      <w:rFonts w:ascii="Times New Roman" w:hAnsi="Times New Roman"/>
                    </w:rPr>
                    <w:t xml:space="preserve"> = 0,1)</w:t>
                  </w:r>
                </w:p>
              </w:tc>
              <w:tc>
                <w:tcPr>
                  <w:tcW w:w="55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4D347D">
                    <w:rPr>
                      <w:rFonts w:ascii="Times New Roman" w:hAnsi="Times New Roman"/>
                    </w:rPr>
                    <w:t xml:space="preserve">Чем меньше срок поставки товара, </w:t>
                  </w:r>
                  <w:r w:rsidRPr="004D347D">
                    <w:rPr>
                      <w:rFonts w:ascii="Times New Roman" w:hAnsi="Times New Roman"/>
                    </w:rPr>
                    <w:lastRenderedPageBreak/>
                    <w:t>тем выше предпочтительность</w:t>
                  </w:r>
                </w:p>
              </w:tc>
              <w:tc>
                <w:tcPr>
                  <w:tcW w:w="1608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E12D33" w:rsidRPr="004D347D" w:rsidRDefault="00E12D33" w:rsidP="00371AC5">
                  <w:pPr>
                    <w:keepNext/>
                    <w:keepLines/>
                    <w:numPr>
                      <w:ilvl w:val="7"/>
                      <w:numId w:val="0"/>
                    </w:numPr>
                    <w:suppressAutoHyphens/>
                    <w:spacing w:beforeLines="40" w:before="96" w:after="96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4D347D">
                    <w:rPr>
                      <w:rFonts w:ascii="Times New Roman" w:hAnsi="Times New Roman"/>
                    </w:rPr>
                    <w:lastRenderedPageBreak/>
                    <w:t xml:space="preserve">Расчет оценки предпочтительности по частному критерию по методу «Оценка предпочтительности посредством однозначной </w:t>
                  </w:r>
                  <w:r w:rsidRPr="004D347D">
                    <w:rPr>
                      <w:rFonts w:ascii="Times New Roman" w:hAnsi="Times New Roman"/>
                    </w:rPr>
                    <w:lastRenderedPageBreak/>
                    <w:t xml:space="preserve">числовой шкалы измерений»: </w:t>
                  </w:r>
                </w:p>
                <w:p w:rsidR="00E12D33" w:rsidRPr="004D347D" w:rsidRDefault="00E12D33" w:rsidP="00371AC5">
                  <w:pPr>
                    <w:keepNext/>
                    <w:keepLines/>
                    <w:numPr>
                      <w:ilvl w:val="7"/>
                      <w:numId w:val="0"/>
                    </w:numPr>
                    <w:suppressAutoHyphens/>
                    <w:spacing w:beforeLines="40" w:before="96" w:after="96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4D347D">
                    <w:rPr>
                      <w:rFonts w:ascii="Times New Roman" w:hAnsi="Times New Roman"/>
                    </w:rPr>
                    <w:t>Порядок осуществления оценки (значение оцениваемого параметра), в зависимости от информации, предоставленной в i-ой заявке в «Календарный график», с указанием разбивки поставки Товара на этапы / партии, напротив каждого из этапов (партии) поставки Товара.</w:t>
                  </w:r>
                </w:p>
                <w:p w:rsidR="00E12D33" w:rsidRPr="004D347D" w:rsidRDefault="00E12D33" w:rsidP="00371AC5">
                  <w:pPr>
                    <w:keepNext/>
                    <w:keepLines/>
                    <w:numPr>
                      <w:ilvl w:val="7"/>
                      <w:numId w:val="0"/>
                    </w:numPr>
                    <w:suppressAutoHyphens/>
                    <w:spacing w:beforeLines="40" w:before="96" w:after="96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577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6"/>
                    <w:gridCol w:w="3969"/>
                    <w:gridCol w:w="1056"/>
                  </w:tblGrid>
                  <w:tr w:rsidR="00E12D33" w:rsidRPr="004D347D" w:rsidTr="00371AC5">
                    <w:trPr>
                      <w:gridAfter w:val="1"/>
                      <w:wAfter w:w="1056" w:type="dxa"/>
                      <w:cantSplit/>
                      <w:trHeight w:val="302"/>
                    </w:trPr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2D33" w:rsidRPr="004D347D" w:rsidRDefault="00E12D33" w:rsidP="00371AC5">
                        <w:pPr>
                          <w:keepNext/>
                          <w:keepLines/>
                          <w:numPr>
                            <w:ilvl w:val="7"/>
                            <w:numId w:val="0"/>
                          </w:numPr>
                          <w:suppressAutoHyphens/>
                          <w:spacing w:beforeLines="40" w:before="96" w:after="96" w:line="240" w:lineRule="auto"/>
                          <w:contextualSpacing/>
                          <w:rPr>
                            <w:rFonts w:ascii="Times New Roman" w:hAnsi="Times New Roman"/>
                          </w:rPr>
                        </w:pPr>
                        <w:r w:rsidRPr="004D347D">
                          <w:rPr>
                            <w:rFonts w:ascii="Times New Roman" w:hAnsi="Times New Roman"/>
                          </w:rPr>
                          <w:t>Б</w:t>
                        </w:r>
                        <w:r w:rsidRPr="004D347D">
                          <w:rPr>
                            <w:rFonts w:ascii="Times New Roman" w:hAnsi="Times New Roman"/>
                            <w:vertAlign w:val="subscript"/>
                          </w:rPr>
                          <w:t>2</w:t>
                        </w:r>
                        <w:r w:rsidRPr="004D347D">
                          <w:rPr>
                            <w:rFonts w:ascii="Times New Roman" w:hAnsi="Times New Roman"/>
                          </w:rPr>
                          <w:t xml:space="preserve"> = 0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2D33" w:rsidRPr="004D347D" w:rsidRDefault="00E12D33" w:rsidP="00371AC5">
                        <w:pPr>
                          <w:keepNext/>
                          <w:keepLines/>
                          <w:numPr>
                            <w:ilvl w:val="7"/>
                            <w:numId w:val="0"/>
                          </w:numPr>
                          <w:tabs>
                            <w:tab w:val="left" w:pos="1937"/>
                          </w:tabs>
                          <w:suppressAutoHyphens/>
                          <w:spacing w:beforeLines="40" w:before="96" w:after="96" w:line="240" w:lineRule="auto"/>
                          <w:ind w:right="1814"/>
                          <w:contextualSpacing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D347D">
                          <w:rPr>
                            <w:rFonts w:ascii="Times New Roman" w:hAnsi="Times New Roman"/>
                          </w:rPr>
                          <w:t>Срок поставки</w:t>
                        </w:r>
                      </w:p>
                      <w:p w:rsidR="00E12D33" w:rsidRPr="004D347D" w:rsidRDefault="00E12D33" w:rsidP="00371AC5">
                        <w:pPr>
                          <w:keepNext/>
                          <w:keepLines/>
                          <w:numPr>
                            <w:ilvl w:val="7"/>
                            <w:numId w:val="0"/>
                          </w:numPr>
                          <w:suppressAutoHyphens/>
                          <w:spacing w:beforeLines="40" w:before="96" w:after="96" w:line="240" w:lineRule="auto"/>
                          <w:ind w:right="2059"/>
                          <w:contextualSpacing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D347D">
                          <w:rPr>
                            <w:rFonts w:ascii="Times New Roman" w:hAnsi="Times New Roman"/>
                          </w:rPr>
                          <w:t>согласно п. 3.1. настоящих технических требований и п. 4.1. Договора</w:t>
                        </w:r>
                      </w:p>
                    </w:tc>
                  </w:tr>
                  <w:tr w:rsidR="00E12D33" w:rsidRPr="004D347D" w:rsidTr="00371AC5">
                    <w:trPr>
                      <w:cantSplit/>
                    </w:trPr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2D33" w:rsidRPr="004D347D" w:rsidRDefault="00E12D33" w:rsidP="00371AC5">
                        <w:pPr>
                          <w:keepNext/>
                          <w:keepLines/>
                          <w:numPr>
                            <w:ilvl w:val="7"/>
                            <w:numId w:val="0"/>
                          </w:numPr>
                          <w:suppressAutoHyphens/>
                          <w:spacing w:beforeLines="40" w:before="96" w:after="96" w:line="240" w:lineRule="auto"/>
                          <w:contextualSpacing/>
                          <w:rPr>
                            <w:rFonts w:ascii="Times New Roman" w:hAnsi="Times New Roman"/>
                          </w:rPr>
                        </w:pPr>
                        <w:r w:rsidRPr="004D347D">
                          <w:rPr>
                            <w:rFonts w:ascii="Times New Roman" w:hAnsi="Times New Roman"/>
                          </w:rPr>
                          <w:t>Б</w:t>
                        </w:r>
                        <w:r w:rsidRPr="004D347D">
                          <w:rPr>
                            <w:rFonts w:ascii="Times New Roman" w:hAnsi="Times New Roman"/>
                            <w:vertAlign w:val="subscript"/>
                          </w:rPr>
                          <w:t>2</w:t>
                        </w:r>
                        <w:r w:rsidRPr="004D347D">
                          <w:rPr>
                            <w:rFonts w:ascii="Times New Roman" w:hAnsi="Times New Roman"/>
                          </w:rPr>
                          <w:t xml:space="preserve"> = 3</w:t>
                        </w:r>
                      </w:p>
                    </w:tc>
                    <w:tc>
                      <w:tcPr>
                        <w:tcW w:w="5025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2D33" w:rsidRPr="004D347D" w:rsidRDefault="00E12D33" w:rsidP="00371AC5">
                        <w:pPr>
                          <w:keepNext/>
                          <w:keepLines/>
                          <w:numPr>
                            <w:ilvl w:val="7"/>
                            <w:numId w:val="0"/>
                          </w:numPr>
                          <w:tabs>
                            <w:tab w:val="left" w:pos="1937"/>
                          </w:tabs>
                          <w:suppressAutoHyphens/>
                          <w:spacing w:beforeLines="40" w:before="96" w:after="96" w:line="240" w:lineRule="auto"/>
                          <w:ind w:right="1814"/>
                          <w:contextualSpacing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D347D">
                          <w:rPr>
                            <w:rFonts w:ascii="Times New Roman" w:hAnsi="Times New Roman"/>
                          </w:rPr>
                          <w:t>Срок поставки</w:t>
                        </w:r>
                      </w:p>
                      <w:p w:rsidR="00E12D33" w:rsidRPr="004D347D" w:rsidRDefault="00E12D33" w:rsidP="00371AC5">
                        <w:pPr>
                          <w:keepNext/>
                          <w:keepLines/>
                          <w:numPr>
                            <w:ilvl w:val="7"/>
                            <w:numId w:val="0"/>
                          </w:numPr>
                          <w:suppressAutoHyphens/>
                          <w:spacing w:beforeLines="40" w:before="96" w:after="96" w:line="240" w:lineRule="auto"/>
                          <w:ind w:right="2982"/>
                          <w:contextualSpacing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D347D">
                          <w:rPr>
                            <w:rFonts w:ascii="Times New Roman" w:hAnsi="Times New Roman"/>
                          </w:rPr>
                          <w:t>согласно п. 3.1. настоящих технических требований и п. 4.1. Договора со смешением</w:t>
                        </w:r>
                      </w:p>
                      <w:p w:rsidR="00E12D33" w:rsidRPr="004D347D" w:rsidRDefault="00E12D33" w:rsidP="00371AC5">
                        <w:pPr>
                          <w:keepNext/>
                          <w:keepLines/>
                          <w:numPr>
                            <w:ilvl w:val="7"/>
                            <w:numId w:val="0"/>
                          </w:numPr>
                          <w:suppressAutoHyphens/>
                          <w:spacing w:beforeLines="40" w:before="96" w:after="96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D347D">
                          <w:rPr>
                            <w:rFonts w:ascii="Times New Roman" w:hAnsi="Times New Roman"/>
                          </w:rPr>
                          <w:t xml:space="preserve">сроков поставки </w:t>
                        </w:r>
                      </w:p>
                      <w:p w:rsidR="00E12D33" w:rsidRPr="004D347D" w:rsidRDefault="00E12D33" w:rsidP="00371AC5">
                        <w:pPr>
                          <w:keepNext/>
                          <w:keepLines/>
                          <w:numPr>
                            <w:ilvl w:val="7"/>
                            <w:numId w:val="0"/>
                          </w:numPr>
                          <w:suppressAutoHyphens/>
                          <w:spacing w:beforeLines="40" w:before="96" w:after="96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D347D">
                          <w:rPr>
                            <w:rFonts w:ascii="Times New Roman" w:hAnsi="Times New Roman"/>
                          </w:rPr>
                          <w:t>на 5 календарных</w:t>
                        </w:r>
                      </w:p>
                      <w:p w:rsidR="00E12D33" w:rsidRPr="004D347D" w:rsidRDefault="00E12D33" w:rsidP="00371AC5">
                        <w:pPr>
                          <w:keepNext/>
                          <w:keepLines/>
                          <w:numPr>
                            <w:ilvl w:val="7"/>
                            <w:numId w:val="0"/>
                          </w:numPr>
                          <w:suppressAutoHyphens/>
                          <w:spacing w:beforeLines="40" w:before="96" w:after="96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D347D">
                          <w:rPr>
                            <w:rFonts w:ascii="Times New Roman" w:hAnsi="Times New Roman"/>
                          </w:rPr>
                          <w:t>дней</w:t>
                        </w:r>
                      </w:p>
                    </w:tc>
                  </w:tr>
                  <w:tr w:rsidR="00E12D33" w:rsidRPr="004D347D" w:rsidTr="00371AC5">
                    <w:trPr>
                      <w:cantSplit/>
                    </w:trPr>
                    <w:tc>
                      <w:tcPr>
                        <w:tcW w:w="7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12D33" w:rsidRPr="004D347D" w:rsidRDefault="00E12D33" w:rsidP="00371AC5">
                        <w:pPr>
                          <w:keepNext/>
                          <w:keepLines/>
                          <w:numPr>
                            <w:ilvl w:val="7"/>
                            <w:numId w:val="0"/>
                          </w:numPr>
                          <w:suppressAutoHyphens/>
                          <w:spacing w:beforeLines="40" w:before="96" w:after="96" w:line="240" w:lineRule="auto"/>
                          <w:contextualSpacing/>
                          <w:rPr>
                            <w:rFonts w:ascii="Times New Roman" w:hAnsi="Times New Roman"/>
                          </w:rPr>
                        </w:pPr>
                        <w:r w:rsidRPr="004D347D">
                          <w:rPr>
                            <w:rFonts w:ascii="Times New Roman" w:hAnsi="Times New Roman"/>
                          </w:rPr>
                          <w:t>Б</w:t>
                        </w:r>
                        <w:r w:rsidRPr="004D347D">
                          <w:rPr>
                            <w:rFonts w:ascii="Times New Roman" w:hAnsi="Times New Roman"/>
                            <w:vertAlign w:val="subscript"/>
                          </w:rPr>
                          <w:t>2</w:t>
                        </w:r>
                        <w:r w:rsidRPr="004D347D">
                          <w:rPr>
                            <w:rFonts w:ascii="Times New Roman" w:hAnsi="Times New Roman"/>
                          </w:rPr>
                          <w:t xml:space="preserve"> = 5</w:t>
                        </w:r>
                      </w:p>
                    </w:tc>
                    <w:tc>
                      <w:tcPr>
                        <w:tcW w:w="502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12D33" w:rsidRPr="004D347D" w:rsidRDefault="00E12D33" w:rsidP="00371AC5">
                        <w:pPr>
                          <w:keepNext/>
                          <w:keepLines/>
                          <w:numPr>
                            <w:ilvl w:val="7"/>
                            <w:numId w:val="0"/>
                          </w:numPr>
                          <w:tabs>
                            <w:tab w:val="left" w:pos="1937"/>
                          </w:tabs>
                          <w:suppressAutoHyphens/>
                          <w:spacing w:beforeLines="40" w:before="96" w:after="96" w:line="240" w:lineRule="auto"/>
                          <w:ind w:right="1814"/>
                          <w:contextualSpacing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D347D">
                          <w:rPr>
                            <w:rFonts w:ascii="Times New Roman" w:hAnsi="Times New Roman"/>
                          </w:rPr>
                          <w:t>Срок поставки</w:t>
                        </w:r>
                      </w:p>
                      <w:p w:rsidR="00E12D33" w:rsidRPr="004D347D" w:rsidRDefault="00E12D33" w:rsidP="00371AC5">
                        <w:pPr>
                          <w:keepNext/>
                          <w:keepLines/>
                          <w:numPr>
                            <w:ilvl w:val="7"/>
                            <w:numId w:val="0"/>
                          </w:numPr>
                          <w:suppressAutoHyphens/>
                          <w:spacing w:beforeLines="40" w:before="96" w:after="96" w:line="240" w:lineRule="auto"/>
                          <w:ind w:right="2982"/>
                          <w:contextualSpacing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D347D">
                          <w:rPr>
                            <w:rFonts w:ascii="Times New Roman" w:hAnsi="Times New Roman"/>
                          </w:rPr>
                          <w:t>согласно п. 3.1. настоящих технических требований и п. 4.1. Договора со смешением</w:t>
                        </w:r>
                      </w:p>
                      <w:p w:rsidR="00E12D33" w:rsidRPr="004D347D" w:rsidRDefault="00E12D33" w:rsidP="00371AC5">
                        <w:pPr>
                          <w:keepNext/>
                          <w:keepLines/>
                          <w:numPr>
                            <w:ilvl w:val="7"/>
                            <w:numId w:val="0"/>
                          </w:numPr>
                          <w:suppressAutoHyphens/>
                          <w:spacing w:beforeLines="40" w:before="96" w:after="96" w:line="240" w:lineRule="auto"/>
                          <w:ind w:right="1814"/>
                          <w:contextualSpacing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D347D">
                          <w:rPr>
                            <w:rFonts w:ascii="Times New Roman" w:hAnsi="Times New Roman"/>
                          </w:rPr>
                          <w:t xml:space="preserve">сроков поставки </w:t>
                        </w:r>
                      </w:p>
                      <w:p w:rsidR="00E12D33" w:rsidRPr="004D347D" w:rsidRDefault="00E12D33" w:rsidP="00371AC5">
                        <w:pPr>
                          <w:keepNext/>
                          <w:keepLines/>
                          <w:numPr>
                            <w:ilvl w:val="7"/>
                            <w:numId w:val="0"/>
                          </w:numPr>
                          <w:suppressAutoHyphens/>
                          <w:spacing w:beforeLines="40" w:before="96" w:after="96" w:line="240" w:lineRule="auto"/>
                          <w:ind w:right="1814"/>
                          <w:contextualSpacing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D347D">
                          <w:rPr>
                            <w:rFonts w:ascii="Times New Roman" w:hAnsi="Times New Roman"/>
                          </w:rPr>
                          <w:t>на 10 календарных</w:t>
                        </w:r>
                      </w:p>
                      <w:p w:rsidR="00E12D33" w:rsidRPr="004D347D" w:rsidRDefault="00E12D33" w:rsidP="00371AC5">
                        <w:pPr>
                          <w:keepNext/>
                          <w:keepLines/>
                          <w:numPr>
                            <w:ilvl w:val="7"/>
                            <w:numId w:val="0"/>
                          </w:numPr>
                          <w:suppressAutoHyphens/>
                          <w:spacing w:beforeLines="40" w:before="96" w:after="96" w:line="240" w:lineRule="auto"/>
                          <w:ind w:right="1814"/>
                          <w:contextualSpacing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D347D">
                          <w:rPr>
                            <w:rFonts w:ascii="Times New Roman" w:hAnsi="Times New Roman"/>
                          </w:rPr>
                          <w:t>дней</w:t>
                        </w:r>
                      </w:p>
                    </w:tc>
                  </w:tr>
                </w:tbl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uppressAutoHyphens/>
                    <w:spacing w:beforeLines="40" w:before="96" w:after="96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4D347D">
                    <w:rPr>
                      <w:rFonts w:ascii="Times New Roman" w:hAnsi="Times New Roman"/>
                    </w:rPr>
                    <w:t>Шкала оценок от 0 до 5 баллов.</w:t>
                  </w:r>
                </w:p>
              </w:tc>
            </w:tr>
            <w:tr w:rsidR="00E12D33" w:rsidRPr="004D347D" w:rsidTr="00E12D33">
              <w:tc>
                <w:tcPr>
                  <w:tcW w:w="2215" w:type="pct"/>
                  <w:gridSpan w:val="4"/>
                  <w:shd w:val="clear" w:color="auto" w:fill="auto"/>
                </w:tcPr>
                <w:p w:rsidR="00E12D33" w:rsidRPr="004D347D" w:rsidRDefault="00E12D33" w:rsidP="00371AC5">
                  <w:pPr>
                    <w:keepNext/>
                    <w:numPr>
                      <w:ilvl w:val="7"/>
                      <w:numId w:val="0"/>
                    </w:numPr>
                    <w:suppressAutoHyphens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4D347D">
                    <w:rPr>
                      <w:rFonts w:ascii="Times New Roman" w:hAnsi="Times New Roman"/>
                    </w:rPr>
                    <w:lastRenderedPageBreak/>
                    <w:t>Итоговая оценка предпочтительности заявки:</w:t>
                  </w:r>
                </w:p>
              </w:tc>
              <w:tc>
                <w:tcPr>
                  <w:tcW w:w="2785" w:type="pct"/>
                  <w:gridSpan w:val="3"/>
                  <w:shd w:val="clear" w:color="auto" w:fill="auto"/>
                </w:tcPr>
                <w:p w:rsidR="00E12D33" w:rsidRPr="004D347D" w:rsidRDefault="00E12D33" w:rsidP="00371AC5">
                  <w:pPr>
                    <w:keepNext/>
                    <w:numPr>
                      <w:ilvl w:val="6"/>
                      <w:numId w:val="0"/>
                    </w:numPr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4D347D">
                    <w:rPr>
                      <w:rFonts w:ascii="Times New Roman" w:hAnsi="Times New Roman"/>
                    </w:rPr>
                    <w:t xml:space="preserve">Расчет итоговой оценки предпочтительности </w:t>
                  </w:r>
                  <w:proofErr w:type="spellStart"/>
                  <w:r w:rsidRPr="004D347D">
                    <w:rPr>
                      <w:rFonts w:ascii="Times New Roman" w:hAnsi="Times New Roman"/>
                      <w:i/>
                      <w:lang w:val="en-US"/>
                    </w:rPr>
                    <w:t>i</w:t>
                  </w:r>
                  <w:proofErr w:type="spellEnd"/>
                  <w:r w:rsidRPr="004D347D">
                    <w:rPr>
                      <w:rFonts w:ascii="Times New Roman" w:hAnsi="Times New Roman"/>
                    </w:rPr>
                    <w:t>-ой заявки:</w:t>
                  </w:r>
                </w:p>
                <w:p w:rsidR="00E12D33" w:rsidRPr="004D347D" w:rsidRDefault="00E12D33" w:rsidP="00371AC5">
                  <w:pPr>
                    <w:keepNext/>
                    <w:numPr>
                      <w:ilvl w:val="6"/>
                      <w:numId w:val="0"/>
                    </w:numP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  <w:p w:rsidR="00E12D33" w:rsidRPr="004D347D" w:rsidRDefault="004A065D" w:rsidP="00371AC5">
                  <w:pPr>
                    <w:keepNext/>
                    <w:numPr>
                      <w:ilvl w:val="6"/>
                      <w:numId w:val="0"/>
                    </w:numPr>
                    <w:suppressAutoHyphens/>
                    <w:spacing w:beforeLines="40" w:before="96" w:after="0" w:line="240" w:lineRule="auto"/>
                    <w:contextualSpacing/>
                    <w:rPr>
                      <w:rFonts w:ascii="Times New Roman" w:hAnsi="Times New Roman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ИТОГ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Б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 уровень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k</m:t>
                                      </m:r>
                                    </m:sub>
                                  </m:sSub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В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 уровень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k</m:t>
                                      </m:r>
                                    </m:sub>
                                  </m:sSub>
                                </m:sub>
                              </m:sSub>
                            </m:e>
                          </m:d>
                        </m:e>
                      </m:nary>
                      <m:r>
                        <w:rPr>
                          <w:rFonts w:ascii="Cambria Math" w:hAnsi="Cambria Math"/>
                        </w:rPr>
                        <m:t>,</m:t>
                      </m:r>
                    </m:oMath>
                  </m:oMathPara>
                </w:p>
                <w:p w:rsidR="00E12D33" w:rsidRPr="004D347D" w:rsidRDefault="00E12D33" w:rsidP="00371AC5">
                  <w:pPr>
                    <w:keepNext/>
                    <w:numPr>
                      <w:ilvl w:val="6"/>
                      <w:numId w:val="0"/>
                    </w:numPr>
                    <w:suppressAutoHyphens/>
                    <w:spacing w:beforeLines="40" w:before="96"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4D347D">
                    <w:rPr>
                      <w:rFonts w:ascii="Times New Roman" w:hAnsi="Times New Roman"/>
                    </w:rPr>
                    <w:t>где:</w:t>
                  </w:r>
                </w:p>
                <w:p w:rsidR="00E12D33" w:rsidRPr="004D347D" w:rsidRDefault="00E12D33" w:rsidP="00371AC5">
                  <w:pPr>
                    <w:keepNext/>
                    <w:numPr>
                      <w:ilvl w:val="6"/>
                      <w:numId w:val="0"/>
                    </w:numPr>
                    <w:tabs>
                      <w:tab w:val="left" w:pos="742"/>
                      <w:tab w:val="left" w:pos="1167"/>
                    </w:tabs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4D347D">
                    <w:rPr>
                      <w:rFonts w:ascii="Times New Roman" w:hAnsi="Times New Roman"/>
                    </w:rPr>
                    <w:t>Б</w:t>
                  </w:r>
                  <w:r w:rsidRPr="004D347D">
                    <w:rPr>
                      <w:rFonts w:ascii="Times New Roman" w:hAnsi="Times New Roman"/>
                      <w:vertAlign w:val="subscript"/>
                    </w:rPr>
                    <w:t>ИТОГ</w:t>
                  </w:r>
                  <w:r w:rsidRPr="004D347D">
                    <w:rPr>
                      <w:rFonts w:ascii="Times New Roman" w:hAnsi="Times New Roman"/>
                    </w:rPr>
                    <w:tab/>
                    <w:t>–</w:t>
                  </w:r>
                  <w:r w:rsidRPr="004D347D">
                    <w:rPr>
                      <w:rFonts w:ascii="Times New Roman" w:hAnsi="Times New Roman"/>
                    </w:rPr>
                    <w:tab/>
                    <w:t>рассчитанная итоговая оценка предпочтительности в баллах;</w:t>
                  </w:r>
                </w:p>
                <w:p w:rsidR="00E12D33" w:rsidRPr="004D347D" w:rsidRDefault="00E12D33" w:rsidP="00371AC5">
                  <w:pPr>
                    <w:keepNext/>
                    <w:numPr>
                      <w:ilvl w:val="6"/>
                      <w:numId w:val="0"/>
                    </w:numPr>
                    <w:tabs>
                      <w:tab w:val="left" w:pos="742"/>
                      <w:tab w:val="left" w:pos="1167"/>
                    </w:tabs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4D347D">
                    <w:rPr>
                      <w:rFonts w:ascii="Times New Roman" w:hAnsi="Times New Roman"/>
                    </w:rPr>
                    <w:t>Б</w:t>
                  </w:r>
                  <w:r w:rsidRPr="004D347D">
                    <w:rPr>
                      <w:rFonts w:ascii="Times New Roman" w:hAnsi="Times New Roman"/>
                      <w:vertAlign w:val="subscript"/>
                    </w:rPr>
                    <w:t>1 уровень k</w:t>
                  </w:r>
                  <w:r w:rsidRPr="004D347D">
                    <w:rPr>
                      <w:rFonts w:ascii="Times New Roman" w:hAnsi="Times New Roman"/>
                    </w:rPr>
                    <w:tab/>
                    <w:t>–</w:t>
                  </w:r>
                  <w:r w:rsidRPr="004D347D">
                    <w:rPr>
                      <w:rFonts w:ascii="Times New Roman" w:hAnsi="Times New Roman"/>
                    </w:rPr>
                    <w:tab/>
                    <w:t>оценка предпочтительности по k-тому критерию оценки первого уровня в баллах;</w:t>
                  </w:r>
                </w:p>
                <w:p w:rsidR="00E12D33" w:rsidRPr="004D347D" w:rsidRDefault="00E12D33" w:rsidP="00371AC5">
                  <w:pPr>
                    <w:keepNext/>
                    <w:numPr>
                      <w:ilvl w:val="6"/>
                      <w:numId w:val="0"/>
                    </w:numPr>
                    <w:tabs>
                      <w:tab w:val="left" w:pos="742"/>
                      <w:tab w:val="left" w:pos="1167"/>
                    </w:tabs>
                    <w:suppressAutoHyphens/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4D347D">
                    <w:rPr>
                      <w:rFonts w:ascii="Times New Roman" w:hAnsi="Times New Roman"/>
                    </w:rPr>
                    <w:t>В</w:t>
                  </w:r>
                  <w:r w:rsidRPr="004D347D">
                    <w:rPr>
                      <w:rFonts w:ascii="Times New Roman" w:hAnsi="Times New Roman"/>
                      <w:vertAlign w:val="subscript"/>
                    </w:rPr>
                    <w:t>1 уровень k</w:t>
                  </w:r>
                  <w:r w:rsidRPr="004D347D">
                    <w:rPr>
                      <w:rFonts w:ascii="Times New Roman" w:hAnsi="Times New Roman"/>
                    </w:rPr>
                    <w:tab/>
                    <w:t>–</w:t>
                  </w:r>
                  <w:r w:rsidRPr="004D347D">
                    <w:rPr>
                      <w:rFonts w:ascii="Times New Roman" w:hAnsi="Times New Roman"/>
                    </w:rPr>
                    <w:tab/>
                    <w:t>значимость k-ого критерия оценки первого уровня, выраженная в диапазоне от 1% до 100% (или от 0,01 до 1,00) – вес k-ого критерия оценки первого уровня.</w:t>
                  </w:r>
                </w:p>
                <w:p w:rsidR="00E12D33" w:rsidRPr="004D347D" w:rsidRDefault="00E12D33" w:rsidP="00371AC5">
                  <w:pPr>
                    <w:keepNext/>
                    <w:numPr>
                      <w:ilvl w:val="6"/>
                      <w:numId w:val="0"/>
                    </w:numPr>
                    <w:tabs>
                      <w:tab w:val="left" w:pos="742"/>
                      <w:tab w:val="left" w:pos="1167"/>
                    </w:tabs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4D347D">
                    <w:rPr>
                      <w:rFonts w:ascii="Times New Roman" w:hAnsi="Times New Roman"/>
                      <w:iCs/>
                    </w:rPr>
                    <w:t>Расчет значений баллов по частным / обобщенным критериям оценки, а также итогового балла (итоговой оценки предпочтительности) производится до четвертого знака после запятой (в соответствии с математическими правилами округления).</w:t>
                  </w:r>
                </w:p>
              </w:tc>
            </w:tr>
          </w:tbl>
          <w:p w:rsidR="00E12D33" w:rsidRPr="00F207C2" w:rsidRDefault="00E12D33" w:rsidP="00470E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536416" w:rsidRPr="005A0356" w:rsidRDefault="00C508B5" w:rsidP="00470ED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F207C2">
              <w:rPr>
                <w:rFonts w:ascii="Times New Roman" w:hAnsi="Times New Roman"/>
                <w:b/>
                <w:szCs w:val="24"/>
              </w:rPr>
              <w:t>4.6. Дополнительная информация</w:t>
            </w:r>
            <w:r w:rsidR="005A0356">
              <w:rPr>
                <w:rFonts w:ascii="Times New Roman" w:hAnsi="Times New Roman"/>
                <w:szCs w:val="24"/>
              </w:rPr>
              <w:t xml:space="preserve"> отсутствует.</w:t>
            </w:r>
          </w:p>
          <w:p w:rsidR="00C508B5" w:rsidRPr="00F207C2" w:rsidRDefault="00C508B5" w:rsidP="000B4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F207C2">
              <w:rPr>
                <w:rFonts w:ascii="Times New Roman" w:hAnsi="Times New Roman"/>
                <w:szCs w:val="24"/>
              </w:rPr>
              <w:t xml:space="preserve"> </w:t>
            </w:r>
            <w:r w:rsidRPr="00F207C2">
              <w:rPr>
                <w:rFonts w:ascii="Times New Roman" w:hAnsi="Times New Roman"/>
                <w:b/>
                <w:szCs w:val="24"/>
              </w:rPr>
              <w:t>5. ТРЕБОВАНИЯ, ПРЕДЪЯВЛЯЕМЫЕ К ПОСТАВЩИКУ</w:t>
            </w:r>
          </w:p>
          <w:p w:rsidR="00E12D33" w:rsidRPr="00E12D33" w:rsidRDefault="00C508B5" w:rsidP="00E12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F207C2">
              <w:rPr>
                <w:rFonts w:ascii="Times New Roman" w:hAnsi="Times New Roman"/>
                <w:b/>
                <w:szCs w:val="24"/>
              </w:rPr>
              <w:t>5.1.</w:t>
            </w:r>
            <w:r w:rsidRPr="00F207C2">
              <w:rPr>
                <w:rFonts w:ascii="Times New Roman" w:hAnsi="Times New Roman"/>
                <w:szCs w:val="24"/>
              </w:rPr>
              <w:t xml:space="preserve"> </w:t>
            </w:r>
            <w:r w:rsidRPr="00F207C2">
              <w:rPr>
                <w:rFonts w:ascii="Times New Roman" w:eastAsia="Times New Roman" w:hAnsi="Times New Roman"/>
                <w:b/>
                <w:szCs w:val="24"/>
                <w:lang w:eastAsia="zh-CN"/>
              </w:rPr>
              <w:t xml:space="preserve">Перечень документов, подтверждающий соответствие участника закупки требованиям, установленным в </w:t>
            </w:r>
            <w:r w:rsidRPr="00F207C2">
              <w:rPr>
                <w:rFonts w:ascii="Times New Roman" w:eastAsia="Times New Roman" w:hAnsi="Times New Roman"/>
                <w:b/>
                <w:szCs w:val="24"/>
                <w:lang w:eastAsia="zh-CN"/>
              </w:rPr>
              <w:lastRenderedPageBreak/>
              <w:t>соответствии с законодательством РФ к лицам, осуществляющим поставки товаров</w:t>
            </w:r>
            <w:r w:rsidR="005A0356">
              <w:rPr>
                <w:rFonts w:ascii="Times New Roman" w:eastAsia="Times New Roman" w:hAnsi="Times New Roman"/>
                <w:b/>
                <w:szCs w:val="24"/>
                <w:lang w:eastAsia="zh-CN"/>
              </w:rPr>
              <w:t>:</w:t>
            </w:r>
            <w:r w:rsidR="00E12D33">
              <w:rPr>
                <w:rFonts w:ascii="Times New Roman" w:eastAsia="Times New Roman" w:hAnsi="Times New Roman"/>
                <w:b/>
                <w:szCs w:val="24"/>
                <w:lang w:eastAsia="zh-CN"/>
              </w:rPr>
              <w:t xml:space="preserve"> </w:t>
            </w:r>
            <w:r w:rsidR="00E12D33" w:rsidRPr="00E12D33">
              <w:rPr>
                <w:rFonts w:ascii="Times New Roman" w:eastAsia="Times New Roman" w:hAnsi="Times New Roman"/>
                <w:szCs w:val="24"/>
                <w:lang w:eastAsia="zh-CN"/>
              </w:rPr>
              <w:t>в соответствии с раздел</w:t>
            </w:r>
            <w:r w:rsidR="00E12D33">
              <w:rPr>
                <w:rFonts w:ascii="Times New Roman" w:eastAsia="Times New Roman" w:hAnsi="Times New Roman"/>
                <w:szCs w:val="24"/>
                <w:lang w:eastAsia="zh-CN"/>
              </w:rPr>
              <w:t>ом 10.1 Документации о закупке.</w:t>
            </w:r>
          </w:p>
          <w:p w:rsidR="00C508B5" w:rsidRPr="00E12D33" w:rsidRDefault="00E12D33" w:rsidP="00E12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zh-CN"/>
              </w:rPr>
            </w:pPr>
            <w:r w:rsidRPr="00E12D33">
              <w:rPr>
                <w:rFonts w:ascii="Times New Roman" w:eastAsia="Times New Roman" w:hAnsi="Times New Roman"/>
                <w:szCs w:val="24"/>
                <w:lang w:eastAsia="zh-CN"/>
              </w:rPr>
              <w:t>К настоящим техническим требованиям прилагается и является её неотъемлемой частью обоснование НМЦ.</w:t>
            </w:r>
          </w:p>
          <w:p w:rsidR="00C508B5" w:rsidRPr="00F207C2" w:rsidRDefault="00C508B5" w:rsidP="000B4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207C2">
              <w:rPr>
                <w:rFonts w:ascii="Times New Roman" w:hAnsi="Times New Roman"/>
                <w:b/>
                <w:szCs w:val="24"/>
              </w:rPr>
              <w:t xml:space="preserve">5.2. </w:t>
            </w:r>
            <w:r w:rsidRPr="00F207C2">
              <w:rPr>
                <w:rFonts w:ascii="Times New Roman" w:hAnsi="Times New Roman"/>
                <w:b/>
                <w:spacing w:val="6"/>
                <w:szCs w:val="24"/>
              </w:rPr>
              <w:t>Иные обязательные требования, предусмотренные законодательством Российской Федерации</w:t>
            </w:r>
            <w:r w:rsidR="005A0356">
              <w:rPr>
                <w:rFonts w:ascii="Times New Roman" w:hAnsi="Times New Roman"/>
                <w:b/>
                <w:spacing w:val="6"/>
                <w:szCs w:val="24"/>
              </w:rPr>
              <w:t>: -.</w:t>
            </w:r>
          </w:p>
          <w:p w:rsidR="00C508B5" w:rsidRPr="00F207C2" w:rsidRDefault="00C508B5" w:rsidP="000B4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207C2">
              <w:rPr>
                <w:rFonts w:ascii="Times New Roman" w:hAnsi="Times New Roman"/>
                <w:szCs w:val="24"/>
              </w:rPr>
              <w:t>К настоящей заявке прилагается и является её неотъемлемой частью_________________</w:t>
            </w:r>
          </w:p>
          <w:p w:rsidR="00C508B5" w:rsidRPr="00F207C2" w:rsidRDefault="00C508B5" w:rsidP="000B4153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  <w:r w:rsidRPr="00F207C2">
              <w:rPr>
                <w:rFonts w:ascii="Times New Roman" w:hAnsi="Times New Roman"/>
                <w:szCs w:val="24"/>
              </w:rPr>
              <w:t>Согласование:</w:t>
            </w:r>
          </w:p>
          <w:tbl>
            <w:tblPr>
              <w:tblW w:w="4988" w:type="pct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2295"/>
              <w:gridCol w:w="1360"/>
              <w:gridCol w:w="1464"/>
              <w:gridCol w:w="1886"/>
            </w:tblGrid>
            <w:tr w:rsidR="00C508B5" w:rsidRPr="00226B8E" w:rsidTr="000B4153">
              <w:trPr>
                <w:trHeight w:val="570"/>
              </w:trPr>
              <w:tc>
                <w:tcPr>
                  <w:tcW w:w="156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08B5" w:rsidRPr="00226B8E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b/>
                      <w:szCs w:val="24"/>
                    </w:rPr>
                  </w:pPr>
                  <w:r w:rsidRPr="00226B8E">
                    <w:rPr>
                      <w:rFonts w:ascii="Times New Roman" w:eastAsia="Calibri" w:hAnsi="Times New Roman"/>
                      <w:b/>
                      <w:szCs w:val="24"/>
                    </w:rPr>
                    <w:t>Служба, отдел:</w:t>
                  </w:r>
                </w:p>
              </w:tc>
              <w:tc>
                <w:tcPr>
                  <w:tcW w:w="112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08B5" w:rsidRPr="00226B8E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b/>
                      <w:szCs w:val="24"/>
                    </w:rPr>
                  </w:pPr>
                  <w:r w:rsidRPr="00226B8E">
                    <w:rPr>
                      <w:rFonts w:ascii="Times New Roman" w:eastAsia="Calibri" w:hAnsi="Times New Roman"/>
                      <w:b/>
                      <w:szCs w:val="24"/>
                    </w:rPr>
                    <w:t>ФИО</w:t>
                  </w:r>
                </w:p>
              </w:tc>
              <w:tc>
                <w:tcPr>
                  <w:tcW w:w="66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08B5" w:rsidRPr="00226B8E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b/>
                      <w:szCs w:val="24"/>
                    </w:rPr>
                  </w:pPr>
                  <w:r w:rsidRPr="00226B8E">
                    <w:rPr>
                      <w:rFonts w:ascii="Times New Roman" w:eastAsia="Calibri" w:hAnsi="Times New Roman"/>
                      <w:b/>
                      <w:szCs w:val="24"/>
                    </w:rPr>
                    <w:t>Дата: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08B5" w:rsidRPr="00226B8E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b/>
                      <w:szCs w:val="24"/>
                    </w:rPr>
                  </w:pPr>
                  <w:r w:rsidRPr="00226B8E">
                    <w:rPr>
                      <w:rFonts w:ascii="Times New Roman" w:eastAsia="Calibri" w:hAnsi="Times New Roman"/>
                      <w:b/>
                      <w:szCs w:val="24"/>
                    </w:rPr>
                    <w:t>Виза:</w:t>
                  </w:r>
                </w:p>
              </w:tc>
              <w:tc>
                <w:tcPr>
                  <w:tcW w:w="92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08B5" w:rsidRPr="00226B8E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b/>
                      <w:szCs w:val="24"/>
                    </w:rPr>
                  </w:pPr>
                  <w:r w:rsidRPr="00226B8E">
                    <w:rPr>
                      <w:rFonts w:ascii="Times New Roman" w:eastAsia="Calibri" w:hAnsi="Times New Roman"/>
                      <w:b/>
                      <w:szCs w:val="24"/>
                    </w:rPr>
                    <w:t>Примечание:</w:t>
                  </w:r>
                </w:p>
              </w:tc>
            </w:tr>
            <w:tr w:rsidR="00C508B5" w:rsidRPr="00226B8E" w:rsidTr="000B4153">
              <w:trPr>
                <w:trHeight w:val="741"/>
              </w:trPr>
              <w:tc>
                <w:tcPr>
                  <w:tcW w:w="15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508B5" w:rsidRPr="00226B8E" w:rsidRDefault="00C508B5" w:rsidP="000B4153">
                  <w:pPr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  <w:r w:rsidRPr="00226B8E">
                    <w:rPr>
                      <w:rFonts w:ascii="Times New Roman" w:eastAsia="Calibri" w:hAnsi="Times New Roman"/>
                      <w:szCs w:val="24"/>
                    </w:rPr>
                    <w:t>Заместитель генерального директора – Главный инженер</w:t>
                  </w:r>
                </w:p>
              </w:tc>
              <w:tc>
                <w:tcPr>
                  <w:tcW w:w="1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508B5" w:rsidRPr="00226B8E" w:rsidRDefault="00C508B5" w:rsidP="000B4153">
                  <w:pPr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  <w:r w:rsidRPr="00226B8E">
                    <w:rPr>
                      <w:rFonts w:ascii="Times New Roman" w:eastAsia="Calibri" w:hAnsi="Times New Roman"/>
                      <w:szCs w:val="24"/>
                    </w:rPr>
                    <w:t>А.А. Мешков</w:t>
                  </w:r>
                </w:p>
              </w:tc>
              <w:tc>
                <w:tcPr>
                  <w:tcW w:w="6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508B5" w:rsidRPr="00226B8E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08B5" w:rsidRPr="00226B8E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</w:p>
              </w:tc>
              <w:tc>
                <w:tcPr>
                  <w:tcW w:w="9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08B5" w:rsidRPr="00226B8E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</w:p>
              </w:tc>
            </w:tr>
            <w:tr w:rsidR="00C508B5" w:rsidRPr="00226B8E" w:rsidTr="000B4153">
              <w:trPr>
                <w:trHeight w:val="741"/>
              </w:trPr>
              <w:tc>
                <w:tcPr>
                  <w:tcW w:w="15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508B5" w:rsidRPr="00226B8E" w:rsidRDefault="00C508B5" w:rsidP="000B4153">
                  <w:pPr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  <w:r w:rsidRPr="00226B8E">
                    <w:rPr>
                      <w:rFonts w:ascii="Times New Roman" w:eastAsia="Calibri" w:hAnsi="Times New Roman"/>
                      <w:szCs w:val="24"/>
                    </w:rPr>
                    <w:t>Заместитель генерального директора по коммерческой деятельности</w:t>
                  </w:r>
                </w:p>
              </w:tc>
              <w:tc>
                <w:tcPr>
                  <w:tcW w:w="1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508B5" w:rsidRPr="00226B8E" w:rsidRDefault="00C508B5" w:rsidP="000B4153">
                  <w:pPr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  <w:r w:rsidRPr="00226B8E">
                    <w:rPr>
                      <w:rFonts w:ascii="Times New Roman" w:eastAsia="Calibri" w:hAnsi="Times New Roman"/>
                      <w:szCs w:val="24"/>
                    </w:rPr>
                    <w:t>Н.Г. Таркаев</w:t>
                  </w:r>
                </w:p>
              </w:tc>
              <w:tc>
                <w:tcPr>
                  <w:tcW w:w="6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508B5" w:rsidRPr="00226B8E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508B5" w:rsidRPr="00226B8E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</w:p>
              </w:tc>
              <w:tc>
                <w:tcPr>
                  <w:tcW w:w="9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508B5" w:rsidRPr="00226B8E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</w:p>
              </w:tc>
            </w:tr>
            <w:tr w:rsidR="00C508B5" w:rsidRPr="00226B8E" w:rsidTr="000B4153">
              <w:trPr>
                <w:trHeight w:val="570"/>
              </w:trPr>
              <w:tc>
                <w:tcPr>
                  <w:tcW w:w="15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508B5" w:rsidRPr="00226B8E" w:rsidRDefault="00C508B5" w:rsidP="000B4153">
                  <w:pPr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  <w:r w:rsidRPr="00226B8E">
                    <w:rPr>
                      <w:rFonts w:ascii="Times New Roman" w:eastAsia="Calibri" w:hAnsi="Times New Roman"/>
                      <w:szCs w:val="24"/>
                    </w:rPr>
                    <w:t>Заместитель главного инженера</w:t>
                  </w:r>
                </w:p>
              </w:tc>
              <w:tc>
                <w:tcPr>
                  <w:tcW w:w="1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508B5" w:rsidRPr="00226B8E" w:rsidRDefault="00470ED7" w:rsidP="000B4153">
                  <w:pPr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Cs w:val="24"/>
                    </w:rPr>
                    <w:t>В.А. Астафьев</w:t>
                  </w:r>
                </w:p>
              </w:tc>
              <w:tc>
                <w:tcPr>
                  <w:tcW w:w="6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508B5" w:rsidRPr="00226B8E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508B5" w:rsidRPr="00226B8E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</w:p>
              </w:tc>
              <w:tc>
                <w:tcPr>
                  <w:tcW w:w="9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508B5" w:rsidRPr="00226B8E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</w:p>
              </w:tc>
            </w:tr>
            <w:tr w:rsidR="00C508B5" w:rsidRPr="00226B8E" w:rsidTr="000B4153">
              <w:trPr>
                <w:trHeight w:val="683"/>
              </w:trPr>
              <w:tc>
                <w:tcPr>
                  <w:tcW w:w="1564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08B5" w:rsidRPr="00226B8E" w:rsidRDefault="00C508B5" w:rsidP="000B4153">
                  <w:pPr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  <w:r w:rsidRPr="00226B8E">
                    <w:rPr>
                      <w:rFonts w:ascii="Times New Roman" w:eastAsia="Calibri" w:hAnsi="Times New Roman"/>
                      <w:szCs w:val="24"/>
                    </w:rPr>
                    <w:t>Отдел учета и отчетности</w:t>
                  </w:r>
                </w:p>
              </w:tc>
              <w:tc>
                <w:tcPr>
                  <w:tcW w:w="1125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08B5" w:rsidRPr="00226B8E" w:rsidRDefault="00C508B5" w:rsidP="000B4153">
                  <w:pPr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  <w:r w:rsidRPr="00226B8E">
                    <w:rPr>
                      <w:rFonts w:ascii="Times New Roman" w:eastAsia="Calibri" w:hAnsi="Times New Roman"/>
                      <w:szCs w:val="24"/>
                    </w:rPr>
                    <w:t>Т.В. Бобылева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508B5" w:rsidRPr="00226B8E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508B5" w:rsidRPr="00226B8E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508B5" w:rsidRPr="00226B8E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</w:p>
              </w:tc>
            </w:tr>
            <w:tr w:rsidR="00C508B5" w:rsidRPr="00226B8E" w:rsidTr="000B4153">
              <w:trPr>
                <w:trHeight w:val="683"/>
              </w:trPr>
              <w:tc>
                <w:tcPr>
                  <w:tcW w:w="1564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08B5" w:rsidRPr="00226B8E" w:rsidRDefault="00C508B5" w:rsidP="000B4153">
                  <w:pPr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  <w:r w:rsidRPr="00226B8E">
                    <w:rPr>
                      <w:rFonts w:ascii="Times New Roman" w:eastAsia="Calibri" w:hAnsi="Times New Roman"/>
                      <w:szCs w:val="24"/>
                    </w:rPr>
                    <w:t>Отдел экономики и финансов</w:t>
                  </w:r>
                </w:p>
              </w:tc>
              <w:tc>
                <w:tcPr>
                  <w:tcW w:w="1125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08B5" w:rsidRPr="00226B8E" w:rsidRDefault="00E176CB" w:rsidP="000B4153">
                  <w:pPr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Cs w:val="24"/>
                    </w:rPr>
                    <w:t>Н.А. Ларчина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508B5" w:rsidRPr="00226B8E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08B5" w:rsidRPr="00226B8E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08B5" w:rsidRPr="00226B8E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</w:p>
              </w:tc>
            </w:tr>
            <w:tr w:rsidR="00C508B5" w:rsidRPr="00226B8E" w:rsidTr="000B4153">
              <w:trPr>
                <w:trHeight w:val="683"/>
              </w:trPr>
              <w:tc>
                <w:tcPr>
                  <w:tcW w:w="1564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08B5" w:rsidRPr="00226B8E" w:rsidRDefault="00C508B5" w:rsidP="000B4153">
                  <w:pPr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  <w:r w:rsidRPr="00226B8E">
                    <w:rPr>
                      <w:rFonts w:ascii="Times New Roman" w:eastAsia="Calibri" w:hAnsi="Times New Roman"/>
                      <w:szCs w:val="24"/>
                    </w:rPr>
                    <w:t>Главный юрисконсульт</w:t>
                  </w:r>
                </w:p>
              </w:tc>
              <w:tc>
                <w:tcPr>
                  <w:tcW w:w="1125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08B5" w:rsidRPr="00226B8E" w:rsidRDefault="00C508B5" w:rsidP="000B4153">
                  <w:pPr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  <w:r w:rsidRPr="00226B8E">
                    <w:rPr>
                      <w:rFonts w:ascii="Times New Roman" w:eastAsia="Calibri" w:hAnsi="Times New Roman"/>
                      <w:szCs w:val="24"/>
                    </w:rPr>
                    <w:t>А.А. Кобяков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508B5" w:rsidRPr="00226B8E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508B5" w:rsidRPr="00226B8E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508B5" w:rsidRPr="00226B8E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</w:p>
              </w:tc>
            </w:tr>
            <w:tr w:rsidR="00C508B5" w:rsidRPr="00226B8E" w:rsidTr="000B4153">
              <w:trPr>
                <w:trHeight w:val="683"/>
              </w:trPr>
              <w:tc>
                <w:tcPr>
                  <w:tcW w:w="15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08B5" w:rsidRPr="00226B8E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  <w:r w:rsidRPr="00226B8E">
                    <w:rPr>
                      <w:rFonts w:ascii="Times New Roman" w:eastAsia="Calibri" w:hAnsi="Times New Roman"/>
                      <w:szCs w:val="24"/>
                    </w:rPr>
                    <w:t>Отдел закупок</w:t>
                  </w:r>
                </w:p>
              </w:tc>
              <w:tc>
                <w:tcPr>
                  <w:tcW w:w="112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08B5" w:rsidRPr="00226B8E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  <w:r w:rsidRPr="00226B8E">
                    <w:rPr>
                      <w:rFonts w:ascii="Times New Roman" w:eastAsia="Calibri" w:hAnsi="Times New Roman"/>
                      <w:szCs w:val="24"/>
                    </w:rPr>
                    <w:t>К.С. Благинина</w:t>
                  </w:r>
                </w:p>
              </w:tc>
              <w:tc>
                <w:tcPr>
                  <w:tcW w:w="66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508B5" w:rsidRPr="00226B8E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08B5" w:rsidRPr="00226B8E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</w:p>
              </w:tc>
              <w:tc>
                <w:tcPr>
                  <w:tcW w:w="92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08B5" w:rsidRPr="00226B8E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</w:p>
              </w:tc>
            </w:tr>
            <w:tr w:rsidR="00C508B5" w:rsidRPr="00226B8E" w:rsidTr="000B4153">
              <w:trPr>
                <w:trHeight w:val="683"/>
              </w:trPr>
              <w:tc>
                <w:tcPr>
                  <w:tcW w:w="156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508B5" w:rsidRPr="00226B8E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  <w:r w:rsidRPr="00226B8E">
                    <w:rPr>
                      <w:rFonts w:ascii="Times New Roman" w:eastAsia="Calibri" w:hAnsi="Times New Roman"/>
                      <w:szCs w:val="24"/>
                    </w:rPr>
                    <w:t>Структурное подразделение, инициирующее закупку</w:t>
                  </w:r>
                </w:p>
              </w:tc>
              <w:tc>
                <w:tcPr>
                  <w:tcW w:w="112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508B5" w:rsidRPr="00226B8E" w:rsidRDefault="00804B9E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Cs w:val="24"/>
                    </w:rPr>
                    <w:t>М.Д. Есир</w:t>
                  </w:r>
                </w:p>
              </w:tc>
              <w:tc>
                <w:tcPr>
                  <w:tcW w:w="66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508B5" w:rsidRPr="00226B8E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508B5" w:rsidRPr="00226B8E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</w:p>
              </w:tc>
              <w:tc>
                <w:tcPr>
                  <w:tcW w:w="92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508B5" w:rsidRPr="00226B8E" w:rsidRDefault="00C508B5" w:rsidP="000B41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/>
                      <w:szCs w:val="24"/>
                    </w:rPr>
                  </w:pPr>
                </w:p>
              </w:tc>
            </w:tr>
          </w:tbl>
          <w:p w:rsidR="00C508B5" w:rsidRPr="00F207C2" w:rsidRDefault="00C508B5" w:rsidP="000B4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30E9D" w:rsidRPr="00016436" w:rsidRDefault="00D30E9D" w:rsidP="00D30E9D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Исполнитель: Отдел материально-технического снабжения, Миронов В.А.</w:t>
            </w:r>
          </w:p>
          <w:p w:rsidR="00D30E9D" w:rsidRPr="00016436" w:rsidRDefault="00D30E9D" w:rsidP="00D30E9D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/>
                <w:szCs w:val="24"/>
              </w:rPr>
            </w:pPr>
            <w:r w:rsidRPr="00016436">
              <w:rPr>
                <w:rFonts w:ascii="Times New Roman" w:hAnsi="Times New Roman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szCs w:val="24"/>
              </w:rPr>
              <w:t>: +7(914)9609647</w:t>
            </w:r>
          </w:p>
          <w:p w:rsidR="00C508B5" w:rsidRPr="00F207C2" w:rsidRDefault="00D30E9D" w:rsidP="00D30E9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Cs w:val="24"/>
              </w:rPr>
            </w:pPr>
            <w:r w:rsidRPr="00016436">
              <w:rPr>
                <w:rFonts w:ascii="Times New Roman" w:hAnsi="Times New Roman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Cs w:val="24"/>
              </w:rPr>
              <w:t>:</w:t>
            </w:r>
            <w:r>
              <w:t xml:space="preserve"> </w:t>
            </w:r>
            <w:hyperlink r:id="rId5" w:history="1">
              <w:r w:rsidRPr="00166A15">
                <w:rPr>
                  <w:rStyle w:val="a4"/>
                  <w:lang w:val="en-US"/>
                </w:rPr>
                <w:t>MironovVA</w:t>
              </w:r>
              <w:r w:rsidRPr="00166A15">
                <w:rPr>
                  <w:rStyle w:val="a4"/>
                  <w:rFonts w:ascii="Times New Roman" w:hAnsi="Times New Roman"/>
                  <w:szCs w:val="24"/>
                </w:rPr>
                <w:t>@ets.yakutskenergo.ru</w:t>
              </w:r>
            </w:hyperlink>
          </w:p>
        </w:tc>
      </w:tr>
    </w:tbl>
    <w:p w:rsidR="00C508B5" w:rsidRDefault="00C508B5" w:rsidP="00C508B5"/>
    <w:p w:rsidR="00BA33A6" w:rsidRDefault="00BA33A6"/>
    <w:sectPr w:rsidR="00BA33A6" w:rsidSect="00536416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4A"/>
    <w:rsid w:val="00046514"/>
    <w:rsid w:val="000B4153"/>
    <w:rsid w:val="001C72F3"/>
    <w:rsid w:val="001E432F"/>
    <w:rsid w:val="00233A43"/>
    <w:rsid w:val="003E0FE0"/>
    <w:rsid w:val="003E7D15"/>
    <w:rsid w:val="00470ED7"/>
    <w:rsid w:val="004A065D"/>
    <w:rsid w:val="004E5599"/>
    <w:rsid w:val="00507F1C"/>
    <w:rsid w:val="00536416"/>
    <w:rsid w:val="005A0356"/>
    <w:rsid w:val="007A2436"/>
    <w:rsid w:val="00804B9E"/>
    <w:rsid w:val="00835220"/>
    <w:rsid w:val="008F7701"/>
    <w:rsid w:val="00923EC6"/>
    <w:rsid w:val="00970BCF"/>
    <w:rsid w:val="009A7764"/>
    <w:rsid w:val="00B21BE6"/>
    <w:rsid w:val="00B3681B"/>
    <w:rsid w:val="00BA33A6"/>
    <w:rsid w:val="00C4185C"/>
    <w:rsid w:val="00C508B5"/>
    <w:rsid w:val="00D129AE"/>
    <w:rsid w:val="00D20D2B"/>
    <w:rsid w:val="00D30E9D"/>
    <w:rsid w:val="00D4284A"/>
    <w:rsid w:val="00DA3F6C"/>
    <w:rsid w:val="00DC5989"/>
    <w:rsid w:val="00E12D33"/>
    <w:rsid w:val="00E176CB"/>
    <w:rsid w:val="00E73817"/>
    <w:rsid w:val="00F504FA"/>
    <w:rsid w:val="00FC1EA7"/>
    <w:rsid w:val="00FC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7CD2"/>
  <w15:docId w15:val="{562F51D7-D887-4636-8A5D-B2AF22B2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8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99"/>
    <w:rsid w:val="00C508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5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0E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onovVA@ets.yakutskenerg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Протопопов Владимир Лукич</dc:creator>
  <cp:lastModifiedBy>Лотова Ольга Васильевна</cp:lastModifiedBy>
  <cp:revision>4</cp:revision>
  <cp:lastPrinted>2022-07-12T04:57:00Z</cp:lastPrinted>
  <dcterms:created xsi:type="dcterms:W3CDTF">2022-07-19T02:07:00Z</dcterms:created>
  <dcterms:modified xsi:type="dcterms:W3CDTF">2022-07-21T01:02:00Z</dcterms:modified>
</cp:coreProperties>
</file>